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31"/>
        <w:gridCol w:w="2251"/>
        <w:gridCol w:w="3782"/>
      </w:tblGrid>
      <w:tr w:rsidR="00F84787" w:rsidRPr="009E10F0" w:rsidTr="00495098">
        <w:trPr>
          <w:cantSplit/>
        </w:trPr>
        <w:tc>
          <w:tcPr>
            <w:tcW w:w="3831" w:type="dxa"/>
          </w:tcPr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bookmarkStart w:id="0" w:name="Par58"/>
            <w:bookmarkEnd w:id="0"/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hideMark/>
          </w:tcPr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D9F673" wp14:editId="71D05977">
                  <wp:extent cx="716280" cy="87630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2" w:type="dxa"/>
          </w:tcPr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84787" w:rsidRPr="009E10F0" w:rsidRDefault="00F84787" w:rsidP="004950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10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84787" w:rsidRPr="009E10F0" w:rsidRDefault="00F84787" w:rsidP="00F84787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br/>
      </w:r>
    </w:p>
    <w:p w:rsidR="00F84787" w:rsidRPr="009E10F0" w:rsidRDefault="00F84787" w:rsidP="00F8478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Ш </w:t>
      </w:r>
      <w:proofErr w:type="gramStart"/>
      <w:r w:rsidRPr="009E10F0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9E10F0">
        <w:rPr>
          <w:rFonts w:ascii="Times New Roman" w:hAnsi="Times New Roman" w:cs="Times New Roman"/>
          <w:b/>
          <w:bCs/>
          <w:sz w:val="24"/>
          <w:szCs w:val="24"/>
        </w:rPr>
        <w:t xml:space="preserve"> Ö М</w:t>
      </w:r>
    </w:p>
    <w:p w:rsidR="00F84787" w:rsidRPr="009E10F0" w:rsidRDefault="00F84787" w:rsidP="00F8478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F84787" w:rsidRPr="009E10F0" w:rsidRDefault="00F84787" w:rsidP="00F847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0F0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F84787" w:rsidRPr="009E10F0" w:rsidRDefault="00F84787" w:rsidP="00F847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4787" w:rsidRPr="009E10F0" w:rsidRDefault="00F84787" w:rsidP="00F84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от 30 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декабря  2021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E10F0">
        <w:rPr>
          <w:rFonts w:ascii="Times New Roman" w:hAnsi="Times New Roman" w:cs="Times New Roman"/>
          <w:sz w:val="24"/>
          <w:szCs w:val="24"/>
        </w:rPr>
        <w:t xml:space="preserve">                              №  991</w:t>
      </w:r>
    </w:p>
    <w:p w:rsidR="00F84787" w:rsidRPr="009E10F0" w:rsidRDefault="00F84787" w:rsidP="00F84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Республика Коми, Ижемский район, с. Ижма</w:t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</w:r>
      <w:r w:rsidRPr="009E10F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</w:p>
    <w:p w:rsidR="00F84787" w:rsidRPr="009E10F0" w:rsidRDefault="00F84787" w:rsidP="00F84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F84787" w:rsidRPr="009E10F0" w:rsidRDefault="00F84787" w:rsidP="00F84787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E10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E10F0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муниципального района «Ижемский» от 05.07.2022 № 463, от 26.12.2022 № 963, от 20.02.2023 № 131</w:t>
      </w:r>
      <w:r>
        <w:rPr>
          <w:rFonts w:ascii="Times New Roman" w:hAnsi="Times New Roman" w:cs="Times New Roman"/>
          <w:sz w:val="24"/>
          <w:szCs w:val="24"/>
        </w:rPr>
        <w:t>, от 29.05.2023 № 530</w:t>
      </w:r>
      <w:r>
        <w:rPr>
          <w:rFonts w:ascii="Times New Roman" w:hAnsi="Times New Roman" w:cs="Times New Roman"/>
          <w:sz w:val="24"/>
          <w:szCs w:val="24"/>
        </w:rPr>
        <w:t>, от 18.10.2023 № 1128</w:t>
      </w:r>
      <w:r w:rsidRPr="009E10F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84787" w:rsidRPr="009E10F0" w:rsidRDefault="00F84787" w:rsidP="00F84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9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02.08.2021 № 589 «О муниципальных программах муниципального образования муниципального района «Ижемский», </w:t>
      </w:r>
      <w:hyperlink r:id="rId10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постановлением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образования муниципального района «Ижемский» </w:t>
      </w:r>
    </w:p>
    <w:p w:rsidR="00F84787" w:rsidRPr="009E10F0" w:rsidRDefault="00F84787" w:rsidP="00F84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F84787" w:rsidRPr="009E10F0" w:rsidRDefault="00F84787" w:rsidP="00F8478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F84787" w:rsidRPr="009E10F0" w:rsidRDefault="00F84787" w:rsidP="00F84787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Утвердить муниципальную </w:t>
      </w:r>
      <w:hyperlink r:id="rId11" w:anchor="P47" w:history="1">
        <w:r w:rsidRPr="009E10F0">
          <w:rPr>
            <w:rStyle w:val="aa"/>
            <w:rFonts w:ascii="Times New Roman" w:hAnsi="Times New Roman"/>
            <w:sz w:val="24"/>
            <w:szCs w:val="24"/>
          </w:rPr>
          <w:t>программу</w:t>
        </w:r>
      </w:hyperlink>
      <w:r w:rsidRPr="009E10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муниципального района «Ижемский» «Развитие и сохранение культуры» согласно приложению 1 к настоящему постановлению.</w:t>
      </w:r>
    </w:p>
    <w:p w:rsidR="00F84787" w:rsidRPr="009E10F0" w:rsidRDefault="00F84787" w:rsidP="00F84787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Признать утратившими силу постановления </w:t>
      </w:r>
      <w:r w:rsidRPr="009E10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муниципального района «Ижемский» </w:t>
      </w:r>
      <w:r w:rsidRPr="009E10F0">
        <w:rPr>
          <w:rFonts w:ascii="Times New Roman" w:hAnsi="Times New Roman" w:cs="Times New Roman"/>
          <w:sz w:val="24"/>
          <w:szCs w:val="24"/>
        </w:rPr>
        <w:t>по перечню согласно приложению 2 к настоящему постановлению.</w:t>
      </w:r>
    </w:p>
    <w:p w:rsidR="00F84787" w:rsidRPr="009E10F0" w:rsidRDefault="00F84787" w:rsidP="00F84787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F84787" w:rsidRPr="009E10F0" w:rsidRDefault="00F84787" w:rsidP="00F84787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0F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руководителя администрации муниципального района «Ижемский» </w:t>
      </w:r>
      <w:proofErr w:type="spellStart"/>
      <w:r w:rsidRPr="009E10F0">
        <w:rPr>
          <w:rFonts w:ascii="Times New Roman" w:hAnsi="Times New Roman" w:cs="Times New Roman"/>
          <w:sz w:val="24"/>
          <w:szCs w:val="24"/>
        </w:rPr>
        <w:t>Батманову</w:t>
      </w:r>
      <w:proofErr w:type="spellEnd"/>
      <w:r w:rsidRPr="00976662">
        <w:rPr>
          <w:rFonts w:ascii="Times New Roman" w:hAnsi="Times New Roman" w:cs="Times New Roman"/>
          <w:sz w:val="24"/>
          <w:szCs w:val="24"/>
        </w:rPr>
        <w:t xml:space="preserve"> </w:t>
      </w:r>
      <w:r w:rsidRPr="009E10F0">
        <w:rPr>
          <w:rFonts w:ascii="Times New Roman" w:hAnsi="Times New Roman" w:cs="Times New Roman"/>
          <w:sz w:val="24"/>
          <w:szCs w:val="24"/>
        </w:rPr>
        <w:t>А.А.</w:t>
      </w:r>
    </w:p>
    <w:p w:rsidR="00F84787" w:rsidRPr="009E10F0" w:rsidRDefault="00F84787" w:rsidP="00F847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87" w:rsidRPr="009E10F0" w:rsidRDefault="00F84787" w:rsidP="00F847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Глава муниципального района – </w:t>
      </w:r>
    </w:p>
    <w:p w:rsidR="00F84787" w:rsidRPr="009E10F0" w:rsidRDefault="00F84787" w:rsidP="00F847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0F0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9E10F0">
        <w:rPr>
          <w:rFonts w:ascii="Times New Roman" w:hAnsi="Times New Roman"/>
          <w:sz w:val="24"/>
          <w:szCs w:val="24"/>
        </w:rPr>
        <w:tab/>
      </w:r>
      <w:r w:rsidRPr="009E10F0">
        <w:rPr>
          <w:rFonts w:ascii="Times New Roman" w:hAnsi="Times New Roman"/>
          <w:sz w:val="24"/>
          <w:szCs w:val="24"/>
        </w:rPr>
        <w:tab/>
        <w:t xml:space="preserve">             И.В. </w:t>
      </w:r>
      <w:proofErr w:type="spellStart"/>
      <w:r w:rsidRPr="009E10F0">
        <w:rPr>
          <w:rFonts w:ascii="Times New Roman" w:hAnsi="Times New Roman"/>
          <w:sz w:val="24"/>
          <w:szCs w:val="24"/>
        </w:rPr>
        <w:t>Норкин</w:t>
      </w:r>
      <w:proofErr w:type="spellEnd"/>
    </w:p>
    <w:p w:rsidR="00F84787" w:rsidRDefault="00F84787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4787" w:rsidRDefault="00F84787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Pr="001D6B48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1D6B48">
        <w:rPr>
          <w:rFonts w:ascii="Times New Roman" w:hAnsi="Times New Roman" w:cs="Times New Roman"/>
          <w:sz w:val="24"/>
          <w:szCs w:val="24"/>
        </w:rPr>
        <w:t>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3"/>
        <w:gridCol w:w="3261"/>
        <w:gridCol w:w="3387"/>
      </w:tblGrid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Программно-целевые инструменты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-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Цели муниципальной 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Развитие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</w:t>
            </w:r>
          </w:p>
        </w:tc>
      </w:tr>
      <w:tr w:rsidR="00106AF2" w:rsidRPr="00772B4F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формирование благоприятных условий реализации, воспроизводства и развития творческого потенциала населения Ижемского района;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обеспечение реализации муниципальной программы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2. Обеспеченность организациями культурно-досугового типа на 1000 человек населения. 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3.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базы.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4. Охват населения Ижемского района услугами библиотек (процентов от общей численности населения Ижемского района).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5. Количество посещений музейных учреждений на 1 жителя в год.</w:t>
            </w:r>
          </w:p>
          <w:p w:rsidR="004E5A73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6. Количество посещений культурно-массовых мероприятий.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7</w:t>
            </w:r>
            <w:r w:rsidR="00106AF2" w:rsidRPr="00772B4F">
              <w:rPr>
                <w:rFonts w:ascii="Times New Roman" w:hAnsi="Times New Roman" w:cs="Times New Roman"/>
              </w:rPr>
              <w:t>. Увеличение на 15% числа посещений учреждений культуры.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8</w:t>
            </w:r>
            <w:r w:rsidR="00106AF2" w:rsidRPr="00772B4F">
              <w:rPr>
                <w:rFonts w:ascii="Times New Roman" w:hAnsi="Times New Roman" w:cs="Times New Roman"/>
              </w:rPr>
              <w:t>. Доля детей, привлекаемых к участию в творческих мероприятиях, от общего числа детей.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9</w:t>
            </w:r>
            <w:r w:rsidR="00106AF2" w:rsidRPr="00772B4F">
              <w:rPr>
                <w:rFonts w:ascii="Times New Roman" w:hAnsi="Times New Roman" w:cs="Times New Roman"/>
              </w:rPr>
              <w:t>. Уровень ежегодного достижения показателей муниципальной программы «Развитие и сохранение культуры».</w:t>
            </w:r>
          </w:p>
          <w:p w:rsidR="00106AF2" w:rsidRPr="00772B4F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. Уровень соблюдения установленных сроков утверждения Комплексного плана действий по реализации Программы и внесения в него изменений.</w:t>
            </w:r>
          </w:p>
          <w:p w:rsidR="00106AF2" w:rsidRPr="00772B4F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11</w:t>
            </w:r>
            <w:r w:rsidR="00106AF2" w:rsidRPr="00772B4F">
              <w:rPr>
                <w:rFonts w:ascii="Times New Roman" w:hAnsi="Times New Roman" w:cs="Times New Roman"/>
              </w:rPr>
              <w:t>. Уровень удовлетворенности населения муниципального района «Ижемский» качеством предоставления муниципальных услуг в сфере культуры и искусства.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культуры.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. Размер среднемесячной заработной платы работников муниципальных учреждений дополнительного образования.</w:t>
            </w:r>
          </w:p>
          <w:p w:rsidR="00106AF2" w:rsidRPr="00772B4F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106AF2" w:rsidRPr="00772B4F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4E5A73"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772B4F">
              <w:rPr>
                <w:rFonts w:ascii="Times New Roman" w:eastAsia="Times New Roman" w:hAnsi="Times New Roman" w:cs="Times New Roman"/>
                <w:sz w:val="22"/>
                <w:szCs w:val="22"/>
              </w:rPr>
              <w:t>.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  <w:p w:rsidR="002141BE" w:rsidRPr="00772B4F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16. Процент технической готовности соответствующих объектов культуры за текущий финансовый год.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лучших работников сельских учреждений культуры, которым оказана государственная поддержка в виде денежного поощрения.</w:t>
            </w:r>
          </w:p>
          <w:p w:rsidR="00772B4F" w:rsidRPr="00772B4F" w:rsidRDefault="00772B4F" w:rsidP="00772B4F">
            <w:pPr>
              <w:pStyle w:val="ConsPlusNormal"/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18. </w:t>
            </w:r>
            <w:r w:rsidRPr="00772B4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 оснащены региональные и муниципальные музеи</w:t>
            </w:r>
            <w:r w:rsidRPr="00772B4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 xml:space="preserve">2022 – </w:t>
            </w:r>
            <w:r w:rsidR="00106AF2" w:rsidRPr="00772B4F">
              <w:rPr>
                <w:rFonts w:ascii="Times New Roman" w:hAnsi="Times New Roman" w:cs="Times New Roman"/>
              </w:rPr>
              <w:t>2025</w:t>
            </w:r>
          </w:p>
        </w:tc>
      </w:tr>
      <w:tr w:rsidR="002141BE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772B4F" w:rsidRDefault="002141BE" w:rsidP="00EB0E20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772B4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«Культурная среда»;</w:t>
            </w:r>
          </w:p>
          <w:p w:rsidR="00772B4F" w:rsidRPr="00772B4F" w:rsidRDefault="00772B4F" w:rsidP="00772B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72B4F">
              <w:rPr>
                <w:rFonts w:ascii="Times New Roman" w:hAnsi="Times New Roman" w:cs="Times New Roman"/>
                <w:lang w:eastAsia="ru-RU"/>
              </w:rPr>
              <w:t>Региональный проект «Творческие люди»;</w:t>
            </w:r>
          </w:p>
          <w:p w:rsidR="00772B4F" w:rsidRPr="00772B4F" w:rsidRDefault="00772B4F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2141BE" w:rsidRPr="00772B4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72B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772B4F" w:rsidRPr="00772B4F" w:rsidRDefault="00772B4F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DA284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 xml:space="preserve">составит </w:t>
            </w:r>
            <w:r w:rsidR="00E52605">
              <w:rPr>
                <w:rFonts w:ascii="Times New Roman" w:hAnsi="Times New Roman" w:cs="Times New Roman"/>
                <w:sz w:val="20"/>
                <w:szCs w:val="20"/>
              </w:rPr>
              <w:t>813 791,7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E52605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 – 215</w:t>
            </w:r>
            <w:r w:rsidR="00DA284F" w:rsidRPr="00DA28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790</w:t>
            </w:r>
            <w:r w:rsidR="00DA284F" w:rsidRPr="00DA28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 w:rsidR="00DA284F"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</w:t>
            </w:r>
            <w:r w:rsidR="00E52605">
              <w:rPr>
                <w:rFonts w:ascii="Times New Roman" w:hAnsi="Times New Roman" w:cs="Times New Roman"/>
              </w:rPr>
              <w:t>ства бюджета МО МР «Ижемский» 813 791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E52605">
              <w:rPr>
                <w:rFonts w:ascii="Times New Roman" w:hAnsi="Times New Roman" w:cs="Times New Roman"/>
              </w:rPr>
              <w:t>7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E52605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 – 215</w:t>
            </w:r>
            <w:r w:rsidR="00DA284F" w:rsidRPr="00DA28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790</w:t>
            </w:r>
            <w:r w:rsidR="00DA284F" w:rsidRPr="00DA28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  <w:r w:rsidR="00DA284F"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республиканского бюджета Республики Коми 323 042,3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82 050,1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2025 год – 79 887,8 тыс. рублей.</w:t>
            </w:r>
          </w:p>
        </w:tc>
        <w:tc>
          <w:tcPr>
            <w:tcW w:w="3387" w:type="dxa"/>
          </w:tcPr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  <w:lang w:eastAsia="en-US"/>
              </w:rPr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DA284F">
              <w:rPr>
                <w:rFonts w:ascii="Times New Roman" w:hAnsi="Times New Roman" w:cs="Times New Roman"/>
              </w:rPr>
              <w:t xml:space="preserve">составит </w:t>
            </w:r>
            <w:r w:rsidR="00E52605">
              <w:rPr>
                <w:rFonts w:ascii="Times New Roman" w:hAnsi="Times New Roman" w:cs="Times New Roman"/>
              </w:rPr>
              <w:t>813 791,7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</w:t>
            </w:r>
            <w:r w:rsidR="00E52605">
              <w:rPr>
                <w:rFonts w:ascii="Times New Roman" w:hAnsi="Times New Roman" w:cs="Times New Roman"/>
              </w:rPr>
              <w:t>5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E52605">
              <w:rPr>
                <w:rFonts w:ascii="Times New Roman" w:hAnsi="Times New Roman" w:cs="Times New Roman"/>
              </w:rPr>
              <w:t>790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E52605">
              <w:rPr>
                <w:rFonts w:ascii="Times New Roman" w:hAnsi="Times New Roman" w:cs="Times New Roman"/>
              </w:rPr>
              <w:t>4</w:t>
            </w:r>
            <w:r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 xml:space="preserve">из них: 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сред</w:t>
            </w:r>
            <w:r w:rsidR="00E52605">
              <w:rPr>
                <w:rFonts w:ascii="Times New Roman" w:hAnsi="Times New Roman" w:cs="Times New Roman"/>
              </w:rPr>
              <w:t>ства бюджета МО МР «Ижемский» 813</w:t>
            </w:r>
            <w:r w:rsidRPr="00DA284F">
              <w:rPr>
                <w:rFonts w:ascii="Times New Roman" w:hAnsi="Times New Roman" w:cs="Times New Roman"/>
              </w:rPr>
              <w:t> </w:t>
            </w:r>
            <w:r w:rsidR="00E52605">
              <w:rPr>
                <w:rFonts w:ascii="Times New Roman" w:hAnsi="Times New Roman" w:cs="Times New Roman"/>
              </w:rPr>
              <w:t>791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E52605">
              <w:rPr>
                <w:rFonts w:ascii="Times New Roman" w:hAnsi="Times New Roman" w:cs="Times New Roman"/>
              </w:rPr>
              <w:t>7</w:t>
            </w:r>
            <w:r w:rsidRPr="00DA284F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194 820,6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21</w:t>
            </w:r>
            <w:r w:rsidR="00E52605">
              <w:rPr>
                <w:rFonts w:ascii="Times New Roman" w:hAnsi="Times New Roman" w:cs="Times New Roman"/>
              </w:rPr>
              <w:t>5</w:t>
            </w:r>
            <w:r w:rsidRPr="00DA284F">
              <w:rPr>
                <w:rFonts w:ascii="Times New Roman" w:hAnsi="Times New Roman" w:cs="Times New Roman"/>
              </w:rPr>
              <w:t xml:space="preserve"> </w:t>
            </w:r>
            <w:r w:rsidR="00E52605">
              <w:rPr>
                <w:rFonts w:ascii="Times New Roman" w:hAnsi="Times New Roman" w:cs="Times New Roman"/>
              </w:rPr>
              <w:t>790</w:t>
            </w:r>
            <w:r w:rsidRPr="00DA284F">
              <w:rPr>
                <w:rFonts w:ascii="Times New Roman" w:hAnsi="Times New Roman" w:cs="Times New Roman"/>
              </w:rPr>
              <w:t>,</w:t>
            </w:r>
            <w:r w:rsidR="00E52605">
              <w:rPr>
                <w:rFonts w:ascii="Times New Roman" w:hAnsi="Times New Roman" w:cs="Times New Roman"/>
              </w:rPr>
              <w:t>4</w:t>
            </w:r>
            <w:r w:rsidRPr="00DA284F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196 842,3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206 338,4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из них: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2 292,2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682,6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1 609,6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0,0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республиканского бюджета Республики Коми 323 042,3 тыс. рублей, в том числе по годам: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81 216,6 тыс. рублей;</w:t>
            </w:r>
          </w:p>
          <w:p w:rsidR="00DA28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82 050,1 тыс. рублей;</w:t>
            </w:r>
          </w:p>
          <w:p w:rsidR="00DA284F" w:rsidRPr="00DA284F" w:rsidRDefault="00DA284F" w:rsidP="00DA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2024 год – 79 887,8 тыс. рублей;</w:t>
            </w:r>
          </w:p>
          <w:p w:rsidR="00772B4F" w:rsidRPr="00DA284F" w:rsidRDefault="00DA284F" w:rsidP="00DA2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79 887,8 тыс. рублей.</w:t>
            </w:r>
          </w:p>
        </w:tc>
      </w:tr>
      <w:tr w:rsidR="00DA284F" w:rsidRPr="00772B4F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DA284F" w:rsidRPr="00772B4F" w:rsidRDefault="00DA284F" w:rsidP="00EB0E2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«Ижемский», предусмотренных решением Совета МР «Ижемский» о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>бюджете 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0,0 тыс. рублей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бюджета МО МР «Ижемский»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</w:t>
            </w:r>
            <w:proofErr w:type="gramStart"/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тыс.рублей</w:t>
            </w:r>
            <w:proofErr w:type="gramEnd"/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647,1 тыс. рублей, в том числе по годам: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  <w:tc>
          <w:tcPr>
            <w:tcW w:w="3387" w:type="dxa"/>
          </w:tcPr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Общий объем финансирования </w:t>
            </w:r>
            <w:r w:rsidRPr="00DA284F">
              <w:rPr>
                <w:rFonts w:ascii="Times New Roman" w:hAnsi="Times New Roman" w:cs="Times New Roman"/>
                <w:sz w:val="20"/>
                <w:szCs w:val="20"/>
              </w:rPr>
              <w:t>региональных проектов (проектов)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 с учетом средств бюджета МО МР «Ижемский» в соответствии со сводной бюджетной росписью бюджета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lastRenderedPageBreak/>
              <w:t>МО МР «Ижемский» составит 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 xml:space="preserve">тыс. рублей, 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годам: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год–1 651,2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0,0 тыс. рублей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из них: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бюджета МО МР «Ижемский» </w:t>
            </w:r>
            <w:r w:rsidRPr="00DA284F">
              <w:rPr>
                <w:rFonts w:ascii="Times New Roman" w:hAnsi="Times New Roman"/>
                <w:sz w:val="20"/>
                <w:szCs w:val="20"/>
              </w:rPr>
              <w:t>2 366,4</w:t>
            </w: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1 651,2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715,2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2024 год –        0,0 тыс. рублей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 них: 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за счет средств федерального бюджета 647,1 тыс. рублей, в том числе по годам: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2022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2023 год –    647,1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2024 год –        0,0 тыс. рублей;</w:t>
            </w:r>
          </w:p>
          <w:p w:rsidR="00DA284F" w:rsidRPr="00DA284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A284F">
              <w:rPr>
                <w:rFonts w:ascii="Times New Roman" w:hAnsi="Times New Roman" w:cs="Times New Roman"/>
              </w:rPr>
              <w:t>2025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счет средств республиканского бюджета Республики Коми 1 520,1 тыс. рублей, в том числе по годам: 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2022 год – 1 486,1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2023 год –      34,0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2024 год –        0,0 тыс. рублей;</w:t>
            </w:r>
          </w:p>
          <w:p w:rsidR="00DA284F" w:rsidRPr="00DA284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284F">
              <w:rPr>
                <w:rFonts w:ascii="Times New Roman" w:hAnsi="Times New Roman"/>
                <w:sz w:val="20"/>
                <w:szCs w:val="20"/>
                <w:lang w:eastAsia="ru-RU"/>
              </w:rPr>
              <w:t>2025 год –        0,0 тыс. рублей.</w:t>
            </w:r>
          </w:p>
        </w:tc>
      </w:tr>
      <w:tr w:rsidR="00106AF2" w:rsidRPr="00772B4F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1) увеличение доли зданий и сооружений муниципальных учреждений сферы культуры и искусства, состояние которых является удовлетворительным, до 83,</w:t>
            </w:r>
            <w:proofErr w:type="gramStart"/>
            <w:r w:rsidRPr="00772B4F">
              <w:rPr>
                <w:rFonts w:ascii="Times New Roman" w:hAnsi="Times New Roman" w:cs="Times New Roman"/>
              </w:rPr>
              <w:t>9  %</w:t>
            </w:r>
            <w:proofErr w:type="gramEnd"/>
            <w:r w:rsidRPr="00772B4F">
              <w:rPr>
                <w:rFonts w:ascii="Times New Roman" w:hAnsi="Times New Roman" w:cs="Times New Roman"/>
              </w:rPr>
              <w:t xml:space="preserve"> к 2025 году;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2) модернизация материально-технической базы учреждений сферы культуры и искусства;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3) увеличение на 15% числа посещений учреждени</w:t>
            </w:r>
            <w:r w:rsidR="00CE2EC8" w:rsidRPr="00772B4F">
              <w:rPr>
                <w:rFonts w:ascii="Times New Roman" w:hAnsi="Times New Roman" w:cs="Times New Roman"/>
              </w:rPr>
              <w:t>й культуры к 2025 году</w:t>
            </w:r>
            <w:r w:rsidRPr="00772B4F">
              <w:rPr>
                <w:rFonts w:ascii="Times New Roman" w:hAnsi="Times New Roman" w:cs="Times New Roman"/>
              </w:rPr>
              <w:t>;</w:t>
            </w:r>
          </w:p>
          <w:p w:rsidR="00106AF2" w:rsidRPr="00772B4F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2B4F">
              <w:rPr>
                <w:rFonts w:ascii="Times New Roman" w:hAnsi="Times New Roman" w:cs="Times New Roman"/>
              </w:rPr>
              <w:t>4) рост количества пользователей услугами библиотек до 63,5 % к 2025 году;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уровня удовлетворенности населения Ижемского района качеством предоставления государственных и муниципальных услуг в сфере культуры до 98,0 %;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увеличение доли детей, привлекаемых к участию в творческих мероприятиях, от общего числа детей до 9,5 %;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показателей муниципальной программы;</w:t>
            </w:r>
          </w:p>
          <w:p w:rsidR="00106AF2" w:rsidRPr="00772B4F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06AF2" w:rsidRPr="00772B4F">
              <w:rPr>
                <w:rFonts w:ascii="Times New Roman" w:hAnsi="Times New Roman" w:cs="Times New Roman"/>
                <w:sz w:val="22"/>
                <w:szCs w:val="22"/>
              </w:rPr>
              <w:t>) соблюдение сроков утверждения Комплексного плана действий по реализации Программы;</w:t>
            </w:r>
          </w:p>
          <w:p w:rsidR="00106AF2" w:rsidRPr="00772B4F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73C3B" w:rsidRPr="00772B4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772B4F">
              <w:rPr>
                <w:rFonts w:ascii="Times New Roman" w:hAnsi="Times New Roman" w:cs="Times New Roman"/>
                <w:sz w:val="22"/>
                <w:szCs w:val="22"/>
              </w:rPr>
              <w:t>) достижение среднемесячной заработной платы работников муниципальных учреждений культуры и педагогических работников дополнительного образования запланированным целевым показателям по Ижемскому району.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Par256"/>
      <w:bookmarkStart w:id="3" w:name="Par258"/>
      <w:bookmarkStart w:id="4" w:name="Par288"/>
      <w:bookmarkEnd w:id="2"/>
      <w:bookmarkEnd w:id="3"/>
      <w:bookmarkEnd w:id="4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человека,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образования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муниципальной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>азвитие культурного потенциала Ижемского района как духовно-нравственного основания для формирования гармонично развитой личности, единства социокультурного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актуализация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5" w:name="page9"/>
      <w:bookmarkEnd w:id="5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муниципальной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программы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</w:rPr>
        <w:t>Ижемский»  (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</w:rPr>
        <w:t xml:space="preserve">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0D4A3F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Информация о показателях результатов использования </w:t>
      </w:r>
      <w:proofErr w:type="gramStart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субсидий  и</w:t>
      </w:r>
      <w:proofErr w:type="gramEnd"/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6" w:name="Par588"/>
      <w:bookmarkEnd w:id="6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</w:t>
      </w:r>
      <w:proofErr w:type="gramEnd"/>
      <w:r w:rsidR="005550C8" w:rsidRPr="001D6B48">
        <w:rPr>
          <w:rFonts w:ascii="Times New Roman" w:hAnsi="Times New Roman" w:cs="Times New Roman"/>
          <w:sz w:val="24"/>
          <w:szCs w:val="24"/>
        </w:rPr>
        <w:t xml:space="preserve">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694"/>
        <w:gridCol w:w="4043"/>
      </w:tblGrid>
      <w:tr w:rsidR="00772B4F" w:rsidRPr="005F2449" w:rsidTr="005B41DE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772B4F" w:rsidRPr="005F2449" w:rsidTr="005B41D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772B4F" w:rsidRPr="005F2449" w:rsidTr="005B41DE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культуры и искусства в Ижемском районе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  <w:p w:rsidR="00772B4F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соответствующих объектов культуры за текущий финансовый год.</w:t>
            </w:r>
          </w:p>
          <w:p w:rsidR="00772B4F" w:rsidRPr="00486C8B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человек населения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Реализация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</w:r>
            <w:r w:rsidRPr="005F2449">
              <w:rPr>
                <w:rFonts w:ascii="Times New Roman" w:hAnsi="Times New Roman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Сопровождение официальных интернет-сайтов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 и искусства. Информационные услуги на радио «Дача».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Увеличение на 15% числа посещений учреждений культуры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опла</w:t>
            </w:r>
            <w:r w:rsidRPr="005F2449">
              <w:rPr>
                <w:rFonts w:ascii="Times New Roman" w:hAnsi="Times New Roman"/>
              </w:rPr>
              <w:lastRenderedPageBreak/>
              <w:t>ты труда работников муниципальных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Оплата труда отдельных категорий работников в </w:t>
            </w:r>
            <w:r w:rsidRPr="005F2449">
              <w:rPr>
                <w:rFonts w:ascii="Times New Roman" w:hAnsi="Times New Roman" w:cs="Times New Roman"/>
              </w:rPr>
              <w:lastRenderedPageBreak/>
              <w:t>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ИМБТ: Размер среднемесячной заработной платы работников муниципальных </w:t>
            </w:r>
            <w:r w:rsidRPr="005F2449">
              <w:rPr>
                <w:rFonts w:ascii="Times New Roman" w:hAnsi="Times New Roman" w:cs="Times New Roman"/>
              </w:rPr>
              <w:lastRenderedPageBreak/>
              <w:t>учреждений культуры.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772B4F" w:rsidRPr="005F2449" w:rsidTr="005B41DE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772B4F" w:rsidRPr="005F2449" w:rsidTr="005B41D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120"/>
      <w:bookmarkEnd w:id="7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772B4F" w:rsidRPr="005F2449" w:rsidTr="005B41DE">
        <w:trPr>
          <w:trHeight w:val="261"/>
        </w:trPr>
        <w:tc>
          <w:tcPr>
            <w:tcW w:w="567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4031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5804" w:type="dxa"/>
            <w:gridSpan w:val="8"/>
          </w:tcPr>
          <w:p w:rsidR="00772B4F" w:rsidRPr="005F2449" w:rsidRDefault="00772B4F" w:rsidP="005B41DE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772B4F" w:rsidRPr="005F2449" w:rsidRDefault="00772B4F" w:rsidP="005B41DE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772B4F" w:rsidRPr="005F2449" w:rsidTr="005B41DE">
        <w:trPr>
          <w:trHeight w:val="382"/>
        </w:trPr>
        <w:tc>
          <w:tcPr>
            <w:tcW w:w="567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772B4F" w:rsidRPr="005F2449" w:rsidRDefault="00772B4F" w:rsidP="005B41DE">
            <w:pPr>
              <w:rPr>
                <w:rFonts w:ascii="Times New Roman" w:hAnsi="Times New Roman" w:cs="Times New Roman"/>
              </w:rPr>
            </w:pP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15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772B4F" w:rsidRPr="00486C8B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14662" w:type="dxa"/>
            <w:gridSpan w:val="14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772B4F" w:rsidRPr="005F2449" w:rsidTr="005B41DE">
        <w:tc>
          <w:tcPr>
            <w:tcW w:w="567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772B4F" w:rsidRPr="005F2449" w:rsidRDefault="00772B4F" w:rsidP="005B41D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772B4F" w:rsidRPr="005F2449" w:rsidRDefault="00772B4F" w:rsidP="005B41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772B4F" w:rsidRPr="005F2449" w:rsidRDefault="00772B4F" w:rsidP="005B41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827"/>
        <w:gridCol w:w="3260"/>
        <w:gridCol w:w="1702"/>
        <w:gridCol w:w="1701"/>
        <w:gridCol w:w="1417"/>
        <w:gridCol w:w="1560"/>
      </w:tblGrid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260" w:type="dxa"/>
            <w:vMerge w:val="restart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380" w:type="dxa"/>
            <w:gridSpan w:val="4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DA284F" w:rsidRPr="0065602F" w:rsidRDefault="00DA284F" w:rsidP="00E526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18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.2023)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A284F" w:rsidRPr="0065602F" w:rsidTr="00DA284F">
        <w:tc>
          <w:tcPr>
            <w:tcW w:w="2189" w:type="dxa"/>
            <w:vMerge w:val="restart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215 790,4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211 945,9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DA284F" w:rsidRPr="0065602F" w:rsidTr="00DA284F">
        <w:tc>
          <w:tcPr>
            <w:tcW w:w="2189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A284F" w:rsidRPr="0065602F" w:rsidRDefault="00DA284F" w:rsidP="00FA7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9 685,1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3 844,5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14 53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Pr="0065602F" w:rsidRDefault="00DA284F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</w:t>
            </w:r>
            <w:r w:rsidR="00E526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17 223,7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33 726,4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DA284F" w:rsidRPr="0065602F" w:rsidRDefault="00E52605" w:rsidP="00E52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2 388</w:t>
            </w:r>
            <w:r w:rsidR="00DA28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DA284F" w:rsidRPr="0065602F" w:rsidRDefault="00E52605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17 214,0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Обеспечение роста уровня оплаты труда работников муниципальных учреждений культуры и искусства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>в Ижемском районе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DA284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12 561,4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DA284F" w:rsidRPr="0065602F" w:rsidTr="00DA284F">
        <w:tc>
          <w:tcPr>
            <w:tcW w:w="2189" w:type="dxa"/>
          </w:tcPr>
          <w:p w:rsidR="00DA284F" w:rsidRPr="0065602F" w:rsidRDefault="00DA284F" w:rsidP="00FA77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DA284F" w:rsidRPr="0065602F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260" w:type="dxa"/>
          </w:tcPr>
          <w:p w:rsidR="00DA284F" w:rsidRPr="0065602F" w:rsidRDefault="00DA284F" w:rsidP="00FA7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417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560" w:type="dxa"/>
          </w:tcPr>
          <w:p w:rsidR="00DA284F" w:rsidRPr="0065602F" w:rsidRDefault="00DA284F" w:rsidP="00FA77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8" w:name="P108"/>
      <w:bookmarkStart w:id="9" w:name="P178"/>
      <w:bookmarkStart w:id="10" w:name="Par754"/>
      <w:bookmarkEnd w:id="8"/>
      <w:bookmarkEnd w:id="9"/>
      <w:bookmarkEnd w:id="10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1C20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ед. изм.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Государственными 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муниципальными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населенных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числом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реализованы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укреплению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готовности соответствующих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учреждений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мероприятия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комплектованию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фондов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субъектов Российской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Default="00DA284F" w:rsidP="00FA77A1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DA284F" w:rsidRPr="005F2449" w:rsidTr="00FA77A1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субъекта Российской Федерации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отрасли культуры (государ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lastRenderedPageBreak/>
              <w:t>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lastRenderedPageBreak/>
              <w:t>Оказана государственная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лучшим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DA284F" w:rsidRPr="005F2449" w:rsidTr="00FA77A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4F" w:rsidRPr="005F2449" w:rsidRDefault="00DA284F" w:rsidP="00FA77A1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изменений.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ar630"/>
      <w:bookmarkStart w:id="12" w:name="Par66"/>
      <w:bookmarkEnd w:id="11"/>
      <w:bookmarkEnd w:id="12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муниципального района «Ижемский» от 26 декабря 2014 года № 1229 «Об утверждении муни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</w:t>
      </w:r>
      <w:proofErr w:type="gramEnd"/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муниципального района «Ижемский»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A3F" w:rsidRDefault="000D4A3F" w:rsidP="00C212C2">
      <w:pPr>
        <w:spacing w:after="0" w:line="240" w:lineRule="auto"/>
      </w:pPr>
      <w:r>
        <w:separator/>
      </w:r>
    </w:p>
  </w:endnote>
  <w:endnote w:type="continuationSeparator" w:id="0">
    <w:p w:rsidR="000D4A3F" w:rsidRDefault="000D4A3F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A3F" w:rsidRDefault="000D4A3F" w:rsidP="00C212C2">
      <w:pPr>
        <w:spacing w:after="0" w:line="240" w:lineRule="auto"/>
      </w:pPr>
      <w:r>
        <w:separator/>
      </w:r>
    </w:p>
  </w:footnote>
  <w:footnote w:type="continuationSeparator" w:id="0">
    <w:p w:rsidR="000D4A3F" w:rsidRDefault="000D4A3F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254" w:rsidRDefault="003C32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 w15:restartNumberingAfterBreak="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 w15:restartNumberingAfterBreak="0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 w15:restartNumberingAfterBreak="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8"/>
  </w:num>
  <w:num w:numId="4">
    <w:abstractNumId w:val="40"/>
  </w:num>
  <w:num w:numId="5">
    <w:abstractNumId w:val="35"/>
  </w:num>
  <w:num w:numId="6">
    <w:abstractNumId w:val="31"/>
  </w:num>
  <w:num w:numId="7">
    <w:abstractNumId w:val="39"/>
  </w:num>
  <w:num w:numId="8">
    <w:abstractNumId w:val="42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3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1"/>
  </w:num>
  <w:num w:numId="36">
    <w:abstractNumId w:val="30"/>
  </w:num>
  <w:num w:numId="37">
    <w:abstractNumId w:val="37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4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4A3F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37415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82D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2B4F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4BE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0B6B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5D4B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0AFF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04A7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17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284F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531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60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78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676CB"/>
  <w15:docId w15:val="{1AA529F2-6CD1-44FB-A93E-D4B22AE5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0E201-C84E-4EB3-BE58-237AEDA5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7482</Words>
  <Characters>42651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cp:lastPrinted>2022-01-13T13:55:00Z</cp:lastPrinted>
  <dcterms:created xsi:type="dcterms:W3CDTF">2024-01-15T09:00:00Z</dcterms:created>
  <dcterms:modified xsi:type="dcterms:W3CDTF">2024-01-15T09:00:00Z</dcterms:modified>
</cp:coreProperties>
</file>