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>
        <w:trPr>
          <w:trHeight w:val="816"/>
        </w:trPr>
        <w:tc>
          <w:tcPr>
            <w:tcW w:w="3652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«Изьва»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>
      <w:pPr>
        <w:jc w:val="center"/>
        <w:rPr>
          <w:b/>
          <w:bCs/>
          <w:i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/>
    <w:p>
      <w:pPr>
        <w:rPr>
          <w:sz w:val="26"/>
          <w:szCs w:val="26"/>
        </w:rPr>
      </w:pPr>
      <w:r>
        <w:rPr>
          <w:sz w:val="26"/>
          <w:szCs w:val="26"/>
        </w:rPr>
        <w:t xml:space="preserve">от 22 декабря 2023 г.                                                                                               № 1380   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>
      <w:pPr>
        <w:tabs>
          <w:tab w:val="left" w:pos="3220"/>
        </w:tabs>
        <w:jc w:val="both"/>
        <w:rPr>
          <w:sz w:val="28"/>
          <w:szCs w:val="28"/>
        </w:rPr>
      </w:pPr>
    </w:p>
    <w:p>
      <w:pPr>
        <w:tabs>
          <w:tab w:val="left" w:pos="3220"/>
        </w:tabs>
        <w:jc w:val="both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2024 год</w:t>
      </w:r>
    </w:p>
    <w:p>
      <w:pPr>
        <w:pStyle w:val="ConsPlusTitle"/>
        <w:widowControl/>
        <w:jc w:val="center"/>
        <w:rPr>
          <w:b w:val="0"/>
          <w:sz w:val="26"/>
          <w:szCs w:val="26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02.08.2021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Утвердить </w:t>
      </w:r>
      <w:r>
        <w:rPr>
          <w:sz w:val="26"/>
          <w:szCs w:val="26"/>
        </w:rPr>
        <w:t xml:space="preserve">Комплексный план действий по реализации муниципальной программы муниципального образования муниципального района «Ижемский» «Развитие экономики» на 2024 год </w:t>
      </w:r>
      <w:r>
        <w:rPr>
          <w:rFonts w:eastAsia="Calibri"/>
          <w:sz w:val="26"/>
          <w:szCs w:val="26"/>
          <w:lang w:eastAsia="en-US"/>
        </w:rPr>
        <w:t>согласно приложению к настоящему постановлению.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оставляю за собой.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 1 января 2024 года.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Заместитель руководителя администрации</w:t>
      </w:r>
    </w:p>
    <w:p>
      <w:pPr>
        <w:rPr>
          <w:bCs/>
        </w:rPr>
      </w:pPr>
      <w:r>
        <w:rPr>
          <w:sz w:val="26"/>
          <w:szCs w:val="26"/>
        </w:rPr>
        <w:t>муниципального района «Ижемский»                                                        В.Л. Трубина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>
      <w:pPr>
        <w:autoSpaceDE w:val="0"/>
        <w:autoSpaceDN w:val="0"/>
        <w:adjustRightInd w:val="0"/>
        <w:jc w:val="right"/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 xml:space="preserve">от 22 декабря 2023 года № 1380 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Комплексный план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действий по реализации муниципальной программы муниципального образования 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района «Ижемский» «Развитие экономики» на 2024 год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1628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8"/>
        <w:gridCol w:w="1842"/>
        <w:gridCol w:w="1849"/>
        <w:gridCol w:w="1747"/>
        <w:gridCol w:w="1384"/>
        <w:gridCol w:w="1623"/>
        <w:gridCol w:w="876"/>
        <w:gridCol w:w="838"/>
        <w:gridCol w:w="754"/>
        <w:gridCol w:w="850"/>
        <w:gridCol w:w="456"/>
        <w:gridCol w:w="456"/>
        <w:gridCol w:w="456"/>
        <w:gridCol w:w="475"/>
        <w:gridCol w:w="1134"/>
        <w:gridCol w:w="811"/>
        <w:gridCol w:w="28"/>
      </w:tblGrid>
      <w:tr>
        <w:trPr>
          <w:gridAfter w:val="1"/>
          <w:wAfter w:w="24" w:type="dxa"/>
          <w:trHeight w:val="9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Срок начала реализации (число. месяц. год)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ресурсного обеспечения на очередной финансовый год,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тыс. руб.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График реализации (квартал)</w:t>
            </w:r>
          </w:p>
        </w:tc>
        <w:tc>
          <w:tcPr>
            <w:tcW w:w="1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Целевой индикатор и показатель</w:t>
            </w:r>
          </w:p>
        </w:tc>
      </w:tr>
      <w:tr>
        <w:trPr>
          <w:gridAfter w:val="1"/>
          <w:wAfter w:w="28" w:type="dxa"/>
          <w:trHeight w:val="5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Всего </w:t>
            </w:r>
          </w:p>
        </w:tc>
        <w:tc>
          <w:tcPr>
            <w:tcW w:w="24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том числе средств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Наименование, единица измерения</w:t>
            </w: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Значение</w:t>
            </w:r>
          </w:p>
        </w:tc>
      </w:tr>
      <w:tr>
        <w:trPr>
          <w:gridAfter w:val="1"/>
          <w:wAfter w:w="28" w:type="dxa"/>
          <w:trHeight w:val="13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Федерального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Республиканского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Местного бюджета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</w:tr>
      <w:tr>
        <w:trPr>
          <w:gridAfter w:val="1"/>
          <w:wAfter w:w="28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4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1. Стратегическое управление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8" w:type="dxa"/>
          <w:trHeight w:val="385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1.1.1.</w:t>
            </w:r>
            <w:r>
              <w:rPr>
                <w:color w:val="000000"/>
                <w:sz w:val="22"/>
                <w:szCs w:val="22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</w:tr>
      <w:tr>
        <w:trPr>
          <w:gridAfter w:val="1"/>
          <w:wAfter w:w="28" w:type="dxa"/>
          <w:trHeight w:val="16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 %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>
        <w:trPr>
          <w:gridAfter w:val="1"/>
          <w:wAfter w:w="28" w:type="dxa"/>
          <w:trHeight w:val="19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6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23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1.1.2.</w:t>
            </w:r>
            <w:r>
              <w:rPr>
                <w:color w:val="000000"/>
                <w:sz w:val="22"/>
                <w:szCs w:val="22"/>
              </w:rPr>
              <w:t xml:space="preserve"> 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период, да/нет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gridAfter w:val="1"/>
          <w:wAfter w:w="28" w:type="dxa"/>
          <w:trHeight w:val="2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8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 1.1.2.2. Размещение прогноза 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9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2        Прогноз социально-экономического развития муниципального образования    муниципального района «Ижемский»  разработан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378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1.1.3</w:t>
            </w:r>
            <w:r>
              <w:rPr>
                <w:color w:val="000000"/>
                <w:sz w:val="22"/>
                <w:szCs w:val="22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МР «Ижемский»,%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</w:tr>
      <w:tr>
        <w:trPr>
          <w:gridAfter w:val="1"/>
          <w:wAfter w:w="28" w:type="dxa"/>
          <w:trHeight w:val="189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Уровень достижения целевых показателей, обозначенных в Стратегии социально-экономического развития МО МР «Ижемский»,%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>
        <w:trPr>
          <w:gridAfter w:val="1"/>
          <w:wAfter w:w="28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1.1.3.1. Формирование ежегодного отчета о выполнении Плана 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6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8" w:type="dxa"/>
          <w:trHeight w:val="154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1.2.1. </w:t>
            </w:r>
            <w:r>
              <w:rPr>
                <w:color w:val="000000"/>
                <w:sz w:val="22"/>
                <w:szCs w:val="22"/>
              </w:rPr>
              <w:t>Развитие системы программно-целевого планирования в муниципальном районе «Ижемский»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91,4</w:t>
            </w:r>
          </w:p>
        </w:tc>
      </w:tr>
      <w:tr>
        <w:trPr>
          <w:gridAfter w:val="1"/>
          <w:wAfter w:w="28" w:type="dxa"/>
          <w:trHeight w:val="174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</w:tr>
      <w:tr>
        <w:trPr>
          <w:gridAfter w:val="1"/>
          <w:wAfter w:w="28" w:type="dxa"/>
          <w:trHeight w:val="24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7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7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0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2023 год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1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8" w:type="dxa"/>
          <w:trHeight w:val="174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2.1.1. </w:t>
            </w:r>
            <w:r>
              <w:rPr>
                <w:color w:val="000000"/>
                <w:sz w:val="22"/>
                <w:szCs w:val="22"/>
              </w:rPr>
              <w:t>Оказание поддержки субъектам инвестиционной деятельности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19100,00</w:t>
            </w:r>
          </w:p>
        </w:tc>
      </w:tr>
      <w:tr>
        <w:trPr>
          <w:gridAfter w:val="1"/>
          <w:wAfter w:w="28" w:type="dxa"/>
          <w:trHeight w:val="13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Объем инвестиций в основной капитал за счет всех источников финансирования млн. руб.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420,00</w:t>
            </w:r>
          </w:p>
        </w:tc>
      </w:tr>
      <w:tr>
        <w:trPr>
          <w:gridAfter w:val="1"/>
          <w:wAfter w:w="28" w:type="dxa"/>
          <w:trHeight w:val="36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gridAfter w:val="1"/>
          <w:wAfter w:w="28" w:type="dxa"/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6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2.1.1.2. Подготовка информации по свободным инвестиционным площадкам МО МР «Ижемский»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126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2.1.2.</w:t>
            </w:r>
            <w:r>
              <w:rPr>
                <w:color w:val="000000"/>
                <w:sz w:val="22"/>
                <w:szCs w:val="22"/>
              </w:rPr>
              <w:t xml:space="preserve">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инвестиционных проектов, реализуемых на территории МО МР «Ижемский», ед.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>
        <w:trPr>
          <w:gridAfter w:val="1"/>
          <w:wAfter w:w="28" w:type="dxa"/>
          <w:trHeight w:val="37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gridAfter w:val="1"/>
          <w:wAfter w:w="28" w:type="dxa"/>
          <w:trHeight w:val="1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3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8" w:type="dxa"/>
          <w:trHeight w:val="36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2.2.1.  </w:t>
            </w:r>
            <w:r>
              <w:rPr>
                <w:color w:val="000000"/>
                <w:sz w:val="22"/>
                <w:szCs w:val="22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</w:t>
            </w:r>
          </w:p>
        </w:tc>
      </w:tr>
      <w:tr>
        <w:trPr>
          <w:gridAfter w:val="1"/>
          <w:wAfter w:w="28" w:type="dxa"/>
          <w:trHeight w:val="1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7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7 Размещена актуальная информация об инвестиционном потенциале МО МР «Ижемский»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8" w:type="dxa"/>
          <w:trHeight w:val="193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3.1.1. </w:t>
            </w:r>
            <w:r>
              <w:rPr>
                <w:color w:val="000000"/>
                <w:sz w:val="22"/>
                <w:szCs w:val="22"/>
              </w:rPr>
              <w:t>Организационная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центра малого и среднего предпринимательства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</w:tr>
      <w:tr>
        <w:trPr>
          <w:gridAfter w:val="1"/>
          <w:wAfter w:w="28" w:type="dxa"/>
          <w:trHeight w:val="177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Число субъектов малого и среднего предпринимательства в расчете на 10 тыс. чел. населения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</w:t>
            </w:r>
          </w:p>
        </w:tc>
      </w:tr>
      <w:tr>
        <w:trPr>
          <w:gridAfter w:val="1"/>
          <w:wAfter w:w="28" w:type="dxa"/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6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6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8.3.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3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</w:t>
            </w:r>
            <w:r>
              <w:rPr>
                <w:color w:val="000000"/>
                <w:sz w:val="22"/>
                <w:szCs w:val="22"/>
              </w:rPr>
              <w:t xml:space="preserve">№ 8  </w:t>
            </w:r>
            <w:r>
              <w:rPr>
                <w:i/>
                <w:iCs/>
                <w:color w:val="000000"/>
                <w:sz w:val="22"/>
                <w:szCs w:val="22"/>
              </w:rPr>
              <w:t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181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3.1.2.</w:t>
            </w:r>
            <w:r>
              <w:rPr>
                <w:color w:val="000000"/>
                <w:sz w:val="22"/>
                <w:szCs w:val="22"/>
              </w:rPr>
              <w:t xml:space="preserve"> Информационная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</w:tr>
      <w:tr>
        <w:trPr>
          <w:gridAfter w:val="1"/>
          <w:wAfter w:w="28" w:type="dxa"/>
          <w:trHeight w:val="196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28" w:type="dxa"/>
          <w:trHeight w:val="1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6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9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9.3.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9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9.4.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6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9.5.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3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199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3.1.3. </w:t>
            </w:r>
            <w:r>
              <w:rPr>
                <w:color w:val="000000"/>
                <w:sz w:val="22"/>
                <w:szCs w:val="22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28" w:type="dxa"/>
          <w:trHeight w:val="181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</w:tr>
      <w:tr>
        <w:trPr>
          <w:gridAfter w:val="1"/>
          <w:wAfter w:w="28" w:type="dxa"/>
          <w:trHeight w:val="11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администрации МР «Ижемский»   Информационно-маркетинговый центр малого и среднего предпринимательства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9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32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7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8" w:type="dxa"/>
          <w:trHeight w:val="16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3.2.1.  </w:t>
            </w:r>
            <w:r>
              <w:rPr>
                <w:color w:val="000000"/>
                <w:sz w:val="22"/>
                <w:szCs w:val="22"/>
              </w:rPr>
              <w:t>Финансовая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малого и среднего предпринимательства, которым оказана финансовая поддержка, ед.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>
        <w:trPr>
          <w:gridAfter w:val="1"/>
          <w:wAfter w:w="28" w:type="dxa"/>
          <w:trHeight w:val="25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рублей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19100</w:t>
            </w:r>
          </w:p>
        </w:tc>
      </w:tr>
      <w:tr>
        <w:trPr>
          <w:gridAfter w:val="1"/>
          <w:wAfter w:w="28" w:type="dxa"/>
          <w:trHeight w:val="29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5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11.2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3.2.1.2. 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1900,0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3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199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3.2.2. </w:t>
            </w:r>
            <w:r>
              <w:rPr>
                <w:color w:val="000000"/>
                <w:sz w:val="22"/>
                <w:szCs w:val="22"/>
              </w:rPr>
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28" w:type="dxa"/>
          <w:trHeight w:val="16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Количества объектов имущества включенных в перечень муниципального имущества, свободных от прав третьих лиц, ед.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</w:tr>
      <w:tr>
        <w:trPr>
          <w:gridAfter w:val="1"/>
          <w:wAfter w:w="28" w:type="dxa"/>
          <w:trHeight w:val="45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48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4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3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3.2.4.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реализованных народных проектов в сфере  малого и среднего предпринимательства, ед.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gridAfter w:val="1"/>
          <w:wAfter w:w="28" w:type="dxa"/>
          <w:trHeight w:val="28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3.2.4.1.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3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3.2.4.1. Субсидирование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"Народный бюджет"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6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13 Реализован проект «Народный бюджет» в сфере малого и среднего предпринимательства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4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3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2229,4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2229,4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8" w:type="dxa"/>
          <w:trHeight w:val="165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4.1.1. </w:t>
            </w:r>
            <w:r>
              <w:rPr>
                <w:color w:val="000000"/>
                <w:sz w:val="22"/>
                <w:szCs w:val="22"/>
              </w:rPr>
              <w:t>Финансовая поддержка сельскохозяйственных организаций, крестьянских (фермерских) хозяйств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2214,4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bookmarkStart w:id="1" w:name="_GoBack"/>
            <w:bookmarkEnd w:id="1"/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2214,4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субъектов агропромышленного и рыбохозяйственного комплексов, которым оказана финансовая поддержка , ед.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>
        <w:trPr>
          <w:gridAfter w:val="1"/>
          <w:wAfter w:w="28" w:type="dxa"/>
          <w:trHeight w:val="123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реализованных народных проектов в сфере агропромышленного комплекса, ед.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>
        <w:trPr>
          <w:gridAfter w:val="1"/>
          <w:wAfter w:w="28" w:type="dxa"/>
          <w:trHeight w:val="15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прибыльных сельскохозяйственных организаций в общем их числе, %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</w:tr>
      <w:tr>
        <w:trPr>
          <w:gridAfter w:val="1"/>
          <w:wAfter w:w="28" w:type="dxa"/>
          <w:trHeight w:val="23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4.1.1.2.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0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14.3.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214,4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9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14 Оказана финансовая поддержка сельскохозяйственным организациям, крестьянским (фермерским) хозяйствам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22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4.1.2. </w:t>
            </w:r>
            <w:r>
              <w:rPr>
                <w:color w:val="000000"/>
                <w:sz w:val="22"/>
                <w:szCs w:val="22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>
        <w:trPr>
          <w:gridAfter w:val="1"/>
          <w:wAfter w:w="28" w:type="dxa"/>
          <w:trHeight w:val="18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49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15.3.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22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15 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2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Процессные мероприятия</w:t>
            </w:r>
          </w:p>
        </w:tc>
      </w:tr>
      <w:tr>
        <w:trPr>
          <w:gridAfter w:val="1"/>
          <w:wAfter w:w="28" w:type="dxa"/>
          <w:trHeight w:val="162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</w:t>
            </w:r>
          </w:p>
        </w:tc>
        <w:tc>
          <w:tcPr>
            <w:tcW w:w="1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Основное мероприятие 4.2.1.</w:t>
            </w:r>
            <w:r>
              <w:rPr>
                <w:color w:val="000000"/>
                <w:sz w:val="22"/>
                <w:szCs w:val="22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молока в хозяйствах всех категорий, тыс.тонн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1,81</w:t>
            </w:r>
          </w:p>
        </w:tc>
      </w:tr>
      <w:tr>
        <w:trPr>
          <w:gridAfter w:val="1"/>
          <w:wAfter w:w="28" w:type="dxa"/>
          <w:trHeight w:val="126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Объем производства скота и птицы на убой (в живом весе) в хозяйствах всех категорий, тыс.тонн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0,093</w:t>
            </w:r>
          </w:p>
        </w:tc>
      </w:tr>
      <w:tr>
        <w:trPr>
          <w:gridAfter w:val="1"/>
          <w:wAfter w:w="28" w:type="dxa"/>
          <w:trHeight w:val="16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4.2.1.1.                  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9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7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Контрольное событие № 16 Проведены ярмарки с участием местных товаропроизводителей 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17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Основное мероприятие 4.2.2. </w:t>
            </w:r>
            <w:r>
              <w:rPr>
                <w:color w:val="000000"/>
                <w:sz w:val="22"/>
                <w:szCs w:val="22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</w:p>
        </w:tc>
      </w:tr>
      <w:tr>
        <w:trPr>
          <w:gridAfter w:val="1"/>
          <w:wAfter w:w="28" w:type="dxa"/>
          <w:trHeight w:val="16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17.1.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5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17.2.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Мероприятие 4.2.2.2. Сбор информации об объемах закупа сельскохозяйственной продукции местных товаропроизводителей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01.01.2024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>
        <w:trPr>
          <w:gridAfter w:val="1"/>
          <w:wAfter w:w="28" w:type="dxa"/>
          <w:trHeight w:val="19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Контрольное событие № 17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V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подпрограмме 4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2214,4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2214,4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>
        <w:trPr>
          <w:gridAfter w:val="1"/>
          <w:wAfter w:w="28" w:type="dxa"/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 ПО ПРОГРАММЕ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4443,8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4443,8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sectPr>
      <w:pgSz w:w="16838" w:h="11906" w:orient="landscape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6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966</TotalTime>
  <Pages>48</Pages>
  <Words>5693</Words>
  <Characters>32456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137</cp:revision>
  <cp:lastPrinted>2022-12-21T13:09:00Z</cp:lastPrinted>
  <dcterms:created xsi:type="dcterms:W3CDTF">2021-09-14T07:56:00Z</dcterms:created>
  <dcterms:modified xsi:type="dcterms:W3CDTF">2023-12-22T11:44:00Z</dcterms:modified>
</cp:coreProperties>
</file>