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ook w:val="04A0" w:firstRow="1" w:lastRow="0" w:firstColumn="1" w:lastColumn="0" w:noHBand="0" w:noVBand="1"/>
      </w:tblPr>
      <w:tblGrid>
        <w:gridCol w:w="3376"/>
        <w:gridCol w:w="2698"/>
        <w:gridCol w:w="3841"/>
      </w:tblGrid>
      <w:tr w:rsidR="00906871" w:rsidRPr="009E5612" w:rsidTr="00AE649B">
        <w:trPr>
          <w:cantSplit/>
          <w:trHeight w:val="1532"/>
        </w:trPr>
        <w:tc>
          <w:tcPr>
            <w:tcW w:w="3376" w:type="dxa"/>
            <w:shd w:val="clear" w:color="auto" w:fill="auto"/>
          </w:tcPr>
          <w:p w:rsidR="00906871" w:rsidRPr="009E5612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  <w:r w:rsidRPr="009E5612">
              <w:rPr>
                <w:rFonts w:ascii="Times New Roman" w:eastAsia="Calibri" w:hAnsi="Times New Roman" w:cs="Calibri"/>
                <w:b/>
                <w:sz w:val="20"/>
                <w:szCs w:val="20"/>
              </w:rPr>
              <w:t>«Изьва»</w:t>
            </w:r>
          </w:p>
          <w:p w:rsidR="00906871" w:rsidRPr="009E5612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  <w:r w:rsidRPr="009E5612">
              <w:rPr>
                <w:rFonts w:ascii="Times New Roman" w:eastAsia="Calibri" w:hAnsi="Times New Roman" w:cs="Calibri"/>
                <w:b/>
                <w:sz w:val="20"/>
                <w:szCs w:val="20"/>
              </w:rPr>
              <w:t>муниципальнöйрайонса</w:t>
            </w:r>
          </w:p>
          <w:p w:rsidR="00906871" w:rsidRPr="009E5612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  <w:r w:rsidRPr="009E5612">
              <w:rPr>
                <w:rFonts w:ascii="Times New Roman" w:eastAsia="Calibri" w:hAnsi="Times New Roman" w:cs="Calibri"/>
                <w:b/>
                <w:sz w:val="20"/>
                <w:szCs w:val="20"/>
              </w:rPr>
              <w:t>Сöвет</w:t>
            </w:r>
          </w:p>
        </w:tc>
        <w:tc>
          <w:tcPr>
            <w:tcW w:w="2698" w:type="dxa"/>
            <w:shd w:val="clear" w:color="auto" w:fill="auto"/>
          </w:tcPr>
          <w:p w:rsidR="00906871" w:rsidRPr="009E5612" w:rsidRDefault="00906871" w:rsidP="009E5612">
            <w:pPr>
              <w:suppressAutoHyphens/>
              <w:spacing w:after="200" w:line="276" w:lineRule="auto"/>
              <w:ind w:right="-108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  <w:r w:rsidRPr="009E5612">
              <w:rPr>
                <w:rFonts w:ascii="Calibri" w:eastAsia="Calibri" w:hAnsi="Calibri" w:cs="Calibr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04825" cy="619252"/>
                  <wp:effectExtent l="0" t="0" r="0" b="0"/>
                  <wp:docPr id="1" name="Picture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76" cy="622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1" w:type="dxa"/>
            <w:shd w:val="clear" w:color="auto" w:fill="auto"/>
          </w:tcPr>
          <w:p w:rsidR="00906871" w:rsidRPr="009E5612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  <w:r w:rsidRPr="009E5612">
              <w:rPr>
                <w:rFonts w:ascii="Times New Roman" w:eastAsia="Calibri" w:hAnsi="Times New Roman" w:cs="Calibri"/>
                <w:b/>
                <w:sz w:val="20"/>
                <w:szCs w:val="20"/>
              </w:rPr>
              <w:t>Совет</w:t>
            </w:r>
          </w:p>
          <w:p w:rsidR="00906871" w:rsidRPr="009E5612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  <w:r w:rsidRPr="009E5612">
              <w:rPr>
                <w:rFonts w:ascii="Times New Roman" w:eastAsia="Calibri" w:hAnsi="Times New Roman" w:cs="Calibri"/>
                <w:b/>
                <w:sz w:val="20"/>
                <w:szCs w:val="20"/>
              </w:rPr>
              <w:t>муниципального района</w:t>
            </w:r>
          </w:p>
          <w:p w:rsidR="00906871" w:rsidRPr="009E5612" w:rsidRDefault="00906871" w:rsidP="00906871">
            <w:pPr>
              <w:suppressAutoHyphens/>
              <w:spacing w:after="0" w:line="480" w:lineRule="auto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  <w:r w:rsidRPr="009E5612"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     «Ижемский»</w:t>
            </w:r>
          </w:p>
          <w:p w:rsidR="00906871" w:rsidRPr="009E5612" w:rsidRDefault="00906871" w:rsidP="00906871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Calibri"/>
                <w:b/>
                <w:sz w:val="20"/>
                <w:szCs w:val="20"/>
              </w:rPr>
            </w:pPr>
          </w:p>
        </w:tc>
      </w:tr>
    </w:tbl>
    <w:p w:rsidR="00906871" w:rsidRPr="009E5612" w:rsidRDefault="00906871" w:rsidP="00906871">
      <w:pPr>
        <w:tabs>
          <w:tab w:val="left" w:pos="3420"/>
        </w:tabs>
        <w:suppressAutoHyphens/>
        <w:spacing w:after="0" w:line="276" w:lineRule="auto"/>
        <w:jc w:val="center"/>
        <w:rPr>
          <w:rFonts w:ascii="Times New Roman" w:eastAsia="Calibri" w:hAnsi="Times New Roman" w:cs="Calibri"/>
          <w:b/>
          <w:sz w:val="20"/>
          <w:szCs w:val="20"/>
        </w:rPr>
      </w:pPr>
      <w:r w:rsidRPr="009E5612">
        <w:rPr>
          <w:rFonts w:ascii="Times New Roman" w:eastAsia="Calibri" w:hAnsi="Times New Roman" w:cs="Calibri"/>
          <w:b/>
          <w:sz w:val="20"/>
          <w:szCs w:val="20"/>
        </w:rPr>
        <w:t>К Ы В К Ö Р Т Ö Д</w:t>
      </w:r>
    </w:p>
    <w:p w:rsidR="00172504" w:rsidRPr="009E5612" w:rsidRDefault="00172504" w:rsidP="00906871">
      <w:pPr>
        <w:tabs>
          <w:tab w:val="left" w:pos="3420"/>
        </w:tabs>
        <w:suppressAutoHyphens/>
        <w:spacing w:after="0" w:line="276" w:lineRule="auto"/>
        <w:jc w:val="center"/>
        <w:rPr>
          <w:rFonts w:ascii="Times New Roman" w:eastAsia="Calibri" w:hAnsi="Times New Roman" w:cs="Calibri"/>
          <w:b/>
          <w:sz w:val="20"/>
          <w:szCs w:val="20"/>
        </w:rPr>
      </w:pPr>
    </w:p>
    <w:p w:rsidR="00906871" w:rsidRPr="009E5612" w:rsidRDefault="00906871" w:rsidP="00906871">
      <w:pPr>
        <w:keepNext/>
        <w:tabs>
          <w:tab w:val="left" w:pos="3420"/>
        </w:tabs>
        <w:suppressAutoHyphens/>
        <w:spacing w:after="0" w:line="276" w:lineRule="auto"/>
        <w:jc w:val="center"/>
        <w:outlineLvl w:val="0"/>
        <w:rPr>
          <w:rFonts w:ascii="Times New Roman" w:eastAsia="Calibri" w:hAnsi="Times New Roman" w:cs="Calibri"/>
          <w:bCs/>
          <w:sz w:val="20"/>
          <w:szCs w:val="20"/>
        </w:rPr>
      </w:pPr>
      <w:r w:rsidRPr="009E5612">
        <w:rPr>
          <w:rFonts w:ascii="Times New Roman" w:eastAsia="Calibri" w:hAnsi="Times New Roman" w:cs="Calibri"/>
          <w:b/>
          <w:bCs/>
          <w:sz w:val="20"/>
          <w:szCs w:val="20"/>
        </w:rPr>
        <w:t>Р Е Ш Е Н И Е</w:t>
      </w:r>
    </w:p>
    <w:p w:rsidR="00906871" w:rsidRPr="009E5612" w:rsidRDefault="00906871" w:rsidP="00906871">
      <w:pPr>
        <w:suppressAutoHyphens/>
        <w:spacing w:after="0" w:line="276" w:lineRule="auto"/>
        <w:rPr>
          <w:rFonts w:ascii="Calibri" w:eastAsia="Calibri" w:hAnsi="Calibri" w:cs="Calibri"/>
          <w:sz w:val="20"/>
          <w:szCs w:val="20"/>
        </w:rPr>
      </w:pPr>
    </w:p>
    <w:p w:rsidR="00906871" w:rsidRPr="009E5612" w:rsidRDefault="00906871" w:rsidP="00906871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</w:rPr>
      </w:pPr>
      <w:r w:rsidRPr="009E5612">
        <w:rPr>
          <w:rFonts w:ascii="Times New Roman" w:eastAsia="Calibri" w:hAnsi="Times New Roman" w:cs="Calibri"/>
          <w:sz w:val="20"/>
          <w:szCs w:val="20"/>
        </w:rPr>
        <w:t xml:space="preserve">от __ </w:t>
      </w:r>
      <w:r w:rsidR="00033A21">
        <w:rPr>
          <w:rFonts w:ascii="Times New Roman" w:eastAsia="Calibri" w:hAnsi="Times New Roman" w:cs="Calibri"/>
          <w:sz w:val="20"/>
          <w:szCs w:val="20"/>
        </w:rPr>
        <w:t xml:space="preserve">                      </w:t>
      </w:r>
      <w:bookmarkStart w:id="0" w:name="_GoBack"/>
      <w:bookmarkEnd w:id="0"/>
      <w:r w:rsidRPr="009E5612">
        <w:rPr>
          <w:rFonts w:ascii="Times New Roman" w:eastAsia="Calibri" w:hAnsi="Times New Roman" w:cs="Calibri"/>
          <w:sz w:val="20"/>
          <w:szCs w:val="20"/>
        </w:rPr>
        <w:t>2020 года                                                                          № 6-6/__</w:t>
      </w:r>
    </w:p>
    <w:p w:rsidR="00906871" w:rsidRPr="009E5612" w:rsidRDefault="00906871" w:rsidP="00906871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</w:rPr>
      </w:pPr>
      <w:r w:rsidRPr="009E5612">
        <w:rPr>
          <w:rFonts w:ascii="Times New Roman" w:eastAsia="Calibri" w:hAnsi="Times New Roman" w:cs="Calibri"/>
          <w:sz w:val="20"/>
          <w:szCs w:val="20"/>
        </w:rPr>
        <w:t>Республика Коми, Ижемский район, с. Ижма</w:t>
      </w:r>
    </w:p>
    <w:p w:rsidR="00906871" w:rsidRPr="009E5612" w:rsidRDefault="00906871" w:rsidP="00906871">
      <w:pPr>
        <w:widowControl w:val="0"/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p w:rsidR="00906871" w:rsidRPr="009E5612" w:rsidRDefault="00906871" w:rsidP="0090687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 утверждении порядка проведения антикоррупционной экспертизы муниципальных нормативных правовых актов Совета муниципального района «Ижемский» и проектов нормативных правовых актов </w:t>
      </w:r>
    </w:p>
    <w:p w:rsidR="00906871" w:rsidRPr="009E5612" w:rsidRDefault="00906871" w:rsidP="0090687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06871" w:rsidRPr="009E5612" w:rsidRDefault="00906871" w:rsidP="00906871">
      <w:pPr>
        <w:widowControl w:val="0"/>
        <w:suppressAutoHyphens/>
        <w:spacing w:after="0" w:line="240" w:lineRule="auto"/>
        <w:ind w:left="540"/>
        <w:jc w:val="center"/>
        <w:rPr>
          <w:rFonts w:ascii="Times New Roman" w:eastAsia="Calibri" w:hAnsi="Times New Roman" w:cs="Calibri"/>
          <w:sz w:val="20"/>
          <w:szCs w:val="20"/>
        </w:rPr>
      </w:pPr>
    </w:p>
    <w:p w:rsidR="00906871" w:rsidRPr="009E5612" w:rsidRDefault="00906871" w:rsidP="00906871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Calibri"/>
          <w:sz w:val="20"/>
          <w:szCs w:val="20"/>
          <w:lang w:eastAsia="ru-RU"/>
        </w:rPr>
        <w:t xml:space="preserve">В соответствии Федеральным законом от 17 июля 2009 года № 172-ФЗ «Об антикоррупционной экспертизе нормативных правовых актов и проектов нормативных правовых актов», в целях реализации </w:t>
      </w:r>
      <w:hyperlink r:id="rId6">
        <w:r w:rsidRPr="009E5612">
          <w:rPr>
            <w:rFonts w:ascii="Times New Roman" w:eastAsia="Times New Roman" w:hAnsi="Times New Roman" w:cs="Calibri"/>
            <w:sz w:val="20"/>
            <w:szCs w:val="20"/>
            <w:lang w:eastAsia="ru-RU"/>
          </w:rPr>
          <w:t>Закона</w:t>
        </w:r>
      </w:hyperlink>
      <w:r w:rsidRPr="009E5612">
        <w:rPr>
          <w:rFonts w:ascii="Times New Roman" w:eastAsia="Times New Roman" w:hAnsi="Times New Roman" w:cs="Calibri"/>
          <w:sz w:val="20"/>
          <w:szCs w:val="20"/>
          <w:lang w:eastAsia="ru-RU"/>
        </w:rPr>
        <w:t xml:space="preserve"> Республики Коми от 29 сентября 2008 года № 82-РЗ «О противодействии коррупции в Республике Коми»</w:t>
      </w:r>
    </w:p>
    <w:p w:rsidR="00906871" w:rsidRPr="009E5612" w:rsidRDefault="00906871" w:rsidP="00906871">
      <w:pPr>
        <w:suppressAutoHyphens/>
        <w:spacing w:after="0" w:line="276" w:lineRule="auto"/>
        <w:jc w:val="both"/>
        <w:rPr>
          <w:rFonts w:ascii="Times New Roman" w:eastAsia="Calibri" w:hAnsi="Times New Roman" w:cs="Calibri"/>
          <w:spacing w:val="-3"/>
          <w:sz w:val="20"/>
          <w:szCs w:val="20"/>
        </w:rPr>
      </w:pPr>
    </w:p>
    <w:p w:rsidR="00906871" w:rsidRPr="009E5612" w:rsidRDefault="00906871" w:rsidP="00906871">
      <w:pPr>
        <w:shd w:val="clear" w:color="auto" w:fill="FFFFFF"/>
        <w:suppressAutoHyphens/>
        <w:spacing w:after="0" w:line="480" w:lineRule="auto"/>
        <w:jc w:val="center"/>
        <w:rPr>
          <w:rFonts w:ascii="Times New Roman" w:eastAsia="Calibri" w:hAnsi="Times New Roman" w:cs="Calibri"/>
          <w:spacing w:val="-3"/>
          <w:sz w:val="20"/>
          <w:szCs w:val="20"/>
        </w:rPr>
      </w:pPr>
      <w:r w:rsidRPr="009E5612">
        <w:rPr>
          <w:rFonts w:ascii="Times New Roman" w:eastAsia="Calibri" w:hAnsi="Times New Roman" w:cs="Calibri"/>
          <w:spacing w:val="-3"/>
          <w:sz w:val="20"/>
          <w:szCs w:val="20"/>
        </w:rPr>
        <w:t>Совет муниципального района «Ижемский»</w:t>
      </w:r>
    </w:p>
    <w:p w:rsidR="00906871" w:rsidRPr="009E5612" w:rsidRDefault="00906871" w:rsidP="00906871">
      <w:pPr>
        <w:suppressAutoHyphens/>
        <w:spacing w:after="0" w:line="276" w:lineRule="auto"/>
        <w:jc w:val="center"/>
        <w:rPr>
          <w:rFonts w:ascii="Times New Roman" w:eastAsia="Calibri" w:hAnsi="Times New Roman" w:cs="Calibri"/>
          <w:sz w:val="20"/>
          <w:szCs w:val="20"/>
        </w:rPr>
      </w:pPr>
      <w:r w:rsidRPr="009E5612">
        <w:rPr>
          <w:rFonts w:ascii="Times New Roman" w:eastAsia="Calibri" w:hAnsi="Times New Roman" w:cs="Calibri"/>
          <w:sz w:val="20"/>
          <w:szCs w:val="20"/>
        </w:rPr>
        <w:t>РЕШИЛ:</w:t>
      </w:r>
    </w:p>
    <w:p w:rsidR="00A359E7" w:rsidRPr="009E5612" w:rsidRDefault="00A359E7" w:rsidP="00906871">
      <w:pPr>
        <w:suppressAutoHyphens/>
        <w:spacing w:after="0" w:line="276" w:lineRule="auto"/>
        <w:jc w:val="center"/>
        <w:rPr>
          <w:rFonts w:ascii="Times New Roman" w:eastAsia="Calibri" w:hAnsi="Times New Roman" w:cs="Calibri"/>
          <w:sz w:val="20"/>
          <w:szCs w:val="20"/>
        </w:rPr>
      </w:pPr>
    </w:p>
    <w:p w:rsidR="00A359E7" w:rsidRPr="009E5612" w:rsidRDefault="00A359E7" w:rsidP="00A359E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E5612">
        <w:rPr>
          <w:rFonts w:ascii="Times New Roman" w:eastAsia="Calibri" w:hAnsi="Times New Roman" w:cs="Calibri"/>
          <w:sz w:val="20"/>
          <w:szCs w:val="20"/>
        </w:rPr>
        <w:tab/>
        <w:t xml:space="preserve">1. </w:t>
      </w:r>
      <w:r w:rsidR="00906871" w:rsidRPr="009E5612">
        <w:rPr>
          <w:rFonts w:ascii="Times New Roman" w:eastAsia="Calibri" w:hAnsi="Times New Roman" w:cs="Calibri"/>
          <w:sz w:val="20"/>
          <w:szCs w:val="20"/>
        </w:rPr>
        <w:t xml:space="preserve">Утвердить </w:t>
      </w:r>
      <w:r w:rsidR="00906871" w:rsidRPr="009E5612">
        <w:rPr>
          <w:rFonts w:ascii="Times New Roman" w:eastAsia="Calibri" w:hAnsi="Times New Roman" w:cs="Times New Roman"/>
          <w:sz w:val="20"/>
          <w:szCs w:val="20"/>
        </w:rPr>
        <w:t xml:space="preserve">Порядок </w:t>
      </w:r>
      <w:r w:rsidR="00906871" w:rsidRPr="009E5612">
        <w:rPr>
          <w:rFonts w:ascii="Times New Roman" w:eastAsia="Calibri" w:hAnsi="Times New Roman" w:cs="Times New Roman"/>
          <w:bCs/>
          <w:sz w:val="20"/>
          <w:szCs w:val="20"/>
        </w:rPr>
        <w:t xml:space="preserve">проведения антикоррупционной экспертизы муниципальных нормативных правовых актов Совета муниципального района «Ижемский» и проектов нормативных правовых актов согласно приложению. </w:t>
      </w:r>
    </w:p>
    <w:p w:rsidR="00A359E7" w:rsidRPr="009E5612" w:rsidRDefault="00A359E7" w:rsidP="00A359E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E5612">
        <w:rPr>
          <w:rFonts w:ascii="Times New Roman" w:eastAsia="Calibri" w:hAnsi="Times New Roman" w:cs="Times New Roman"/>
          <w:bCs/>
          <w:sz w:val="20"/>
          <w:szCs w:val="20"/>
        </w:rPr>
        <w:tab/>
        <w:t xml:space="preserve">2. </w:t>
      </w:r>
      <w:r w:rsidR="00906871" w:rsidRPr="009E5612">
        <w:rPr>
          <w:rFonts w:ascii="Times New Roman" w:eastAsia="Calibri" w:hAnsi="Times New Roman" w:cs="Times New Roman"/>
          <w:bCs/>
          <w:sz w:val="20"/>
          <w:szCs w:val="20"/>
        </w:rPr>
        <w:t>Признать утратившим силу решение Совета муниципального района «Ижемский» от 12 июля 2010 года № 3-29/2 «Об утверждении порядка проведения антикоррупционной экспертизы муниципальных нормативных правовых актов Совета муниципального района «Ижемский» и проектов муниципальных нормативных правовых актов Совета муниципального района «Ижемский».</w:t>
      </w:r>
    </w:p>
    <w:p w:rsidR="00906871" w:rsidRPr="009E5612" w:rsidRDefault="00A359E7" w:rsidP="00A359E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9E5612">
        <w:rPr>
          <w:rFonts w:ascii="Times New Roman" w:eastAsia="Calibri" w:hAnsi="Times New Roman" w:cs="Times New Roman"/>
          <w:bCs/>
          <w:sz w:val="20"/>
          <w:szCs w:val="20"/>
        </w:rPr>
        <w:tab/>
        <w:t xml:space="preserve">3. </w:t>
      </w:r>
      <w:r w:rsidR="00906871" w:rsidRPr="009E5612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Настоящее решение вступает в силу со дня опубликования.</w:t>
      </w:r>
    </w:p>
    <w:p w:rsidR="00906871" w:rsidRPr="009E5612" w:rsidRDefault="00906871" w:rsidP="0090687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906871" w:rsidRPr="009E5612" w:rsidRDefault="00906871" w:rsidP="00906871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0"/>
          <w:szCs w:val="20"/>
        </w:rPr>
      </w:pPr>
      <w:r w:rsidRPr="009E5612">
        <w:rPr>
          <w:rFonts w:ascii="Times New Roman" w:eastAsia="Calibri" w:hAnsi="Times New Roman" w:cs="Calibri"/>
          <w:sz w:val="20"/>
          <w:szCs w:val="20"/>
        </w:rPr>
        <w:t xml:space="preserve">Исполняющий обязанности </w:t>
      </w:r>
    </w:p>
    <w:p w:rsidR="00906871" w:rsidRPr="009E5612" w:rsidRDefault="00906871" w:rsidP="00906871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0"/>
          <w:szCs w:val="20"/>
        </w:rPr>
      </w:pPr>
      <w:r w:rsidRPr="009E5612">
        <w:rPr>
          <w:rFonts w:ascii="Times New Roman" w:eastAsia="Calibri" w:hAnsi="Times New Roman" w:cs="Calibri"/>
          <w:sz w:val="20"/>
          <w:szCs w:val="20"/>
        </w:rPr>
        <w:t xml:space="preserve">главы муниципального района </w:t>
      </w:r>
      <w:r w:rsidR="00172504" w:rsidRPr="009E5612">
        <w:rPr>
          <w:rFonts w:ascii="Times New Roman" w:eastAsia="Calibri" w:hAnsi="Times New Roman" w:cs="Calibri"/>
          <w:sz w:val="20"/>
          <w:szCs w:val="20"/>
        </w:rPr>
        <w:t xml:space="preserve">«Ижемский» </w:t>
      </w:r>
      <w:r w:rsidRPr="009E5612">
        <w:rPr>
          <w:rFonts w:ascii="Times New Roman" w:eastAsia="Calibri" w:hAnsi="Times New Roman" w:cs="Calibri"/>
          <w:sz w:val="20"/>
          <w:szCs w:val="20"/>
        </w:rPr>
        <w:t xml:space="preserve">- </w:t>
      </w:r>
    </w:p>
    <w:p w:rsidR="00906871" w:rsidRPr="009E5612" w:rsidRDefault="00172504" w:rsidP="00906871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0"/>
          <w:szCs w:val="20"/>
        </w:rPr>
      </w:pPr>
      <w:r w:rsidRPr="009E5612">
        <w:rPr>
          <w:rFonts w:ascii="Times New Roman" w:eastAsia="Calibri" w:hAnsi="Times New Roman" w:cs="Calibri"/>
          <w:sz w:val="20"/>
          <w:szCs w:val="20"/>
        </w:rPr>
        <w:t>руководителя</w:t>
      </w:r>
      <w:r w:rsidR="00906871" w:rsidRPr="009E5612">
        <w:rPr>
          <w:rFonts w:ascii="Times New Roman" w:eastAsia="Calibri" w:hAnsi="Times New Roman" w:cs="Calibri"/>
          <w:sz w:val="20"/>
          <w:szCs w:val="20"/>
        </w:rPr>
        <w:t xml:space="preserve"> администрации                                    </w:t>
      </w:r>
      <w:r w:rsidRPr="009E5612">
        <w:rPr>
          <w:rFonts w:ascii="Times New Roman" w:eastAsia="Calibri" w:hAnsi="Times New Roman" w:cs="Calibri"/>
          <w:sz w:val="20"/>
          <w:szCs w:val="20"/>
        </w:rPr>
        <w:t xml:space="preserve">                Р.Е. Селиверстов</w:t>
      </w:r>
    </w:p>
    <w:p w:rsidR="00A359E7" w:rsidRPr="009E5612" w:rsidRDefault="00A359E7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</w:p>
    <w:p w:rsidR="009E5612" w:rsidRPr="009E5612" w:rsidRDefault="009E5612" w:rsidP="009E56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</w:p>
    <w:p w:rsidR="009E5612" w:rsidRPr="009E5612" w:rsidRDefault="009E5612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</w:p>
    <w:p w:rsidR="00A359E7" w:rsidRPr="009E5612" w:rsidRDefault="00906871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  <w:r w:rsidRPr="009E5612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 xml:space="preserve">Утвержден решением Совета </w:t>
      </w:r>
    </w:p>
    <w:p w:rsidR="00A359E7" w:rsidRPr="009E5612" w:rsidRDefault="00906871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  <w:r w:rsidRPr="009E5612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 xml:space="preserve">муниципального района «Ижемский» </w:t>
      </w:r>
    </w:p>
    <w:p w:rsidR="009868C2" w:rsidRPr="009E5612" w:rsidRDefault="00906871" w:rsidP="009E561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  <w:r w:rsidRPr="009E5612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от ___ июля 2020 г. № 6-6/</w:t>
      </w:r>
    </w:p>
    <w:p w:rsidR="00CE48A6" w:rsidRPr="009E5612" w:rsidRDefault="009868C2" w:rsidP="009E56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ПОРЯДОК</w:t>
      </w:r>
    </w:p>
    <w:p w:rsidR="009868C2" w:rsidRPr="009E5612" w:rsidRDefault="009868C2" w:rsidP="009E56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</w:pPr>
      <w:r w:rsidRPr="009E5612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проведения антикоррупционной экспертизы муниципальных нормативных правовых актов Совета муниципального района «Ижемский» и проектов нормативных правовых актов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положения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1.1.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Настоящее Положение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принято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Федеральным законом от 17 июля 2009 года № 172-ФЗ «Об антикоррупционной экспертизе нормативных правовых актов и проектов нормативных правовых актов»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устанавливает порядок проведения антикоррупционной экспертизы муниципальных нормативных правовых актов представительного органа муниципального образования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Ижемский» (да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лее –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 либо Совет района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и проектов нормативных правовых актов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района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целях выявления коррупциогенных факторов и их последующего устранения, а также порядок подготовки заключений о результатах антикоррупционной экспертизы муниципальных нормативных правовых актов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проектов нормативных правовых актов.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1.2.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настоящего Положения применяются следующие понятия: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муниципальные нормативные правовые акты Совета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проекты муниципальных нормативных правовых актов – проекты Совета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антикоррупционная экспертиза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экспертное исследование с целью выявления в муниципальных нормативных правовых актах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проектах муниципальных нормативных правовых актов  коррупциогенных факторов;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объекты антикоррупционной экспертизы – муниципальные нормативные правовые акты и проекты муниципальных нормативных правовых актов при проведении антикоррупционной экспертизы;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мониторинг применения муниципального нормативного правового акта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наблюдение, обработка, анализ и оценка данных о реализации действующего муниципального нормативного правового акта.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Иные понятия применяются в настоящем Положении в значениях, определенных законодательством Российской Федерации.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1.3. Антикоррупционная экспертиза проводится при осуществлении правовой (юридической) экспертизы проектов муниципальных нормативных правовых актов и мониторинге применения муниципальных нормативных правовых актов.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антикоррупционной экспертизы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проектов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 нормативных правовых актов</w:t>
      </w:r>
    </w:p>
    <w:p w:rsidR="00A359E7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359E7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2.1. 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Антикоррупционная экспертиза проектов муниципальных нормативных правовых актов проводится при осуществлении их правовой (юридической) экспертизы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 (далее — Методика).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2.2.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Антикоррупционная экспертиза проектов муниципальных нормативных правовых актов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проводится должностным лицом администрации, назначенным главой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района-руководителем администрации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— уполномоченное лицо).</w:t>
      </w:r>
    </w:p>
    <w:p w:rsidR="00A359E7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2.3.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Срок проведения антикоррупционной экспертизы проектов муниципальных  нормативных правовых актов составляет не более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дней со дня поступления проекта в Совет </w:t>
      </w:r>
      <w:r w:rsidR="001222AD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E48A6" w:rsidRPr="009E5612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2.4.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результатам проведения антикоррупционной экспертизы проекта муниципального нормативного правового акта экспертный орган подготавливает экспертное заключение о результатах проведения антикоррупционной экспертизы (далее — экспертное заключение), которое должно содержать следующие сведения: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подготовки экспертного заключения;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и наименование проекта муниципального нормативного правового акта, прошедшего антикоррупционную экспертизу;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положения проекта муниципального нормативного правового акта, содержащие коррупциогенные факторы (в случае выявления);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предложения о способах устранения выявленных в проекте муниципального нормативного правового акта положений, содержащих коррупциогенные факторы (в случае выявления).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В экспертном заключении могут быть отражены возможные негативные последствия сохранения в проекте муниципального нормативного правового акта положений, содержащих коррупциогенные факторы, а также выявленные при проведении антикоррупционной экспертизы положения, которые не относятся к коррупциогенным факторам, но могут способствовать созданию условий для проявления коррупции.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2.5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Экспертное заключение подписывается сотрудником администрации </w:t>
      </w:r>
      <w:r w:rsidR="004A300C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района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возложении на него функций эксперта.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568F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2.6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Положения проекта муниципального нормативного правового акта органа местного самоуправления (должностного лица местного самоуправления), содержащие коррупциогенные факторы, а также положения, способствующие созданию условий для проявления коррупции, выявленные при проведении антикоррупционной экспертизы, устраняются разработчиком проекта муниципального нормативного правового акта </w:t>
      </w:r>
      <w:r w:rsidR="004A300C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района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стадии его доработки.</w:t>
      </w:r>
    </w:p>
    <w:p w:rsidR="00CE48A6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D73E0A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3. 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антикоррупционной экспертизы муниципальных нормативных правовых актов при мониторинге их применения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3.1.</w:t>
      </w:r>
      <w:r w:rsidR="008568F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Антикоррупционная экспертиза муниципальных нормативных правовых актов проводится экспертным органом при мониторинге их применения в соответствии с Методикой.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Основаниями для проведения экспертизы муниципальных нормативных правовых актов при мониторинге их применения являются: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поручения главы </w:t>
      </w:r>
      <w:r w:rsidR="0000003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0003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0003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00003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района)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наличии обращений граждан или организаций, предписаний Федеральной антимонопольной службы и ее территориальных органов, экспертных заключений Министерства юстиции Российской Федерации и его территориальных органов, иных документов и информации, содержащих сведения о наличии (возможности наличия) в муниципальном нормативном правовом акте коррупциогенных факторов;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судебное оспаривание муниципального нормативного правового акта;</w:t>
      </w:r>
    </w:p>
    <w:p w:rsidR="00CE48A6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принятие мер прокурорского реагирования в отношении муниципального нормативного правового акта;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собственная инициатива.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 результатам проведения антикоррупционной экспертизы муниципального нормативного правового акта экспертный орган подготавливает экспертное заключение, которое должно содержать следующие сведения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указанные в п. 2 настоящего Порядка. 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. Экспертное заключение подписывается специалистом, на которого возложено проведение экспер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изы.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Положения муниципального нормативного правового акта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района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содержащие коррупциогенные факторы, а также положения, способствующие созданию условий для проявления коррупции, выявленные при проведении антикоррупционной экспертизы, подлежат устранению разработчиком данного акта, а при его отсутствии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иным сотрудником, назначенным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главой района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E48A6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  <w:r w:rsidR="00D73E0A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4. 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Независимая антикоррупционная экспертиза муниципальных нормативных правовых актов и проектов муниципальных нормативных правовых актов</w:t>
      </w:r>
    </w:p>
    <w:p w:rsidR="00CE48A6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D73E0A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4.1. Объектами независимой антикоррупционной экспертизы являются официально опубликованные муниципальные нормативные правовые акты и размещенные на официальном портале муниципального образования в сети Интернет проекты муниципальных нормативных правовых актов.</w:t>
      </w:r>
    </w:p>
    <w:p w:rsidR="00CE48A6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D73E0A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Независимая антикоррупционная экспертиза не проводится в отношении муниципальных нормативных правовых актов и проектов муниципальных нормативных правовых актов, содержащих сведения, составляющие государственную, служебную или иную охраняемую федеральным законом тайну.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4.2.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4.3. Для обеспечения проведения независимой антикоррупционной экспертизы проекта муниципального нормативного правового акта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администрация района или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должностн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ое лицо местного самоуправления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являющийся разработчиком проекта, организует его размещение на официальном портале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 «Ижемский»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рабочего дня, соответствующего дню направления проекта муниципального нормативного правового акта на согласование, с указанием адреса электронной почты для направления экспертных заключений, а также даты начала и даты окончания приема заключений по результатам независимой антикоррупционной экспертизы.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4.4. По результатам независимой антикоррупционной экспертизы независимым экспертом составляется экспертное заключение по форме, утверждаемой Министерством юстиции Российской Федерации.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4.5. По результатам рассмотрения составленного независимым экспертом экспертного заключения независимому эксперту направляется мотивированный ответ, за исключением случаев, когда в экспертном заключении отсутствуют предложения о способе устранения выявленных коррупциогенных факторов.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.  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гражданами, имеющими неснятую или непогашенную судимость;</w:t>
      </w:r>
    </w:p>
    <w:p w:rsidR="00D73E0A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- 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-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международными и иностранными организациями;</w:t>
      </w:r>
    </w:p>
    <w:p w:rsidR="00CE48A6" w:rsidRPr="009E5612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-</w:t>
      </w:r>
      <w:r w:rsidR="00CE48A6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некоммерческими организациями, выполняющими функции иностранного агента.</w:t>
      </w:r>
    </w:p>
    <w:p w:rsidR="00CE48A6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D73E0A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5. 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 результатов антикоррупционной экспертизы муниципальных нормативных правовых актов и проектов муниципальных нормативных правовых актов</w:t>
      </w:r>
    </w:p>
    <w:p w:rsidR="00CE48A6" w:rsidRPr="009E5612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D73E0A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5.1. С целью организации учета результатов антикоррупционной экспертизы муниципального нормативных правовых актов и проектов муниципальных нормативных правовых актов специалист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отдела правовой и кадровой работы администрации муниципального района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«Ижемский» 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ежегодно до 20 января года, следующего за отчетным, направляет главе </w:t>
      </w:r>
      <w:r w:rsidR="004C255F"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района</w:t>
      </w:r>
      <w:r w:rsidRPr="009E5612">
        <w:rPr>
          <w:rFonts w:ascii="Times New Roman" w:eastAsia="Times New Roman" w:hAnsi="Times New Roman" w:cs="Times New Roman"/>
          <w:sz w:val="20"/>
          <w:szCs w:val="20"/>
          <w:lang w:eastAsia="ru-RU"/>
        </w:rPr>
        <w:t>, перечень проведенных антикоррупционных экспертиз проектов муниципальных нормативных правовых актов, перечень проведенных антикоррупционных экспертиз муниципальных нормативных правовых актов, перечень поступивших экспертных заключений о результатах проведения независимых антикоррупционных экспертиз, информацию о количестве и динамике выявления в результате проведения антикоррупционных экспертиз коррупциогенных факторов, информацию об устранении (не устранении) выявленных коррупциогенных факторов. </w:t>
      </w:r>
    </w:p>
    <w:p w:rsidR="00D73E0A" w:rsidRPr="009E5612" w:rsidRDefault="00D73E0A" w:rsidP="009E56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0666" w:rsidRPr="009E5612" w:rsidRDefault="004A0666" w:rsidP="009E56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>Разработчики:</w:t>
      </w:r>
    </w:p>
    <w:p w:rsidR="004A0666" w:rsidRPr="009E5612" w:rsidRDefault="004A0666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0666" w:rsidRPr="009E5612" w:rsidRDefault="00D73E0A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ab/>
      </w:r>
      <w:r w:rsidR="004A0666" w:rsidRPr="009E5612">
        <w:rPr>
          <w:rFonts w:ascii="Times New Roman" w:hAnsi="Times New Roman" w:cs="Times New Roman"/>
          <w:sz w:val="20"/>
          <w:szCs w:val="20"/>
        </w:rPr>
        <w:t>Отдел правовой и кадровой работы администрации МР «Ижемский»</w:t>
      </w:r>
      <w:r w:rsidRPr="009E5612">
        <w:rPr>
          <w:rFonts w:ascii="Times New Roman" w:hAnsi="Times New Roman" w:cs="Times New Roman"/>
          <w:sz w:val="20"/>
          <w:szCs w:val="20"/>
        </w:rPr>
        <w:t xml:space="preserve"> </w:t>
      </w:r>
      <w:r w:rsidR="004A0666" w:rsidRPr="009E5612">
        <w:rPr>
          <w:rFonts w:ascii="Times New Roman" w:hAnsi="Times New Roman" w:cs="Times New Roman"/>
          <w:sz w:val="20"/>
          <w:szCs w:val="20"/>
        </w:rPr>
        <w:t>Начальник отдела Р.Г. Терентьев</w:t>
      </w:r>
    </w:p>
    <w:p w:rsidR="004A0666" w:rsidRPr="009E5612" w:rsidRDefault="00D73E0A" w:rsidP="009E5612">
      <w:pPr>
        <w:spacing w:after="0" w:line="240" w:lineRule="auto"/>
        <w:jc w:val="both"/>
        <w:rPr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ab/>
      </w:r>
      <w:r w:rsidR="004C255F" w:rsidRPr="009E5612">
        <w:rPr>
          <w:rFonts w:ascii="Times New Roman" w:hAnsi="Times New Roman" w:cs="Times New Roman"/>
          <w:sz w:val="20"/>
          <w:szCs w:val="20"/>
        </w:rPr>
        <w:t>Основания для принятия решения:</w:t>
      </w:r>
    </w:p>
    <w:p w:rsidR="00D73E0A" w:rsidRPr="009E5612" w:rsidRDefault="00D73E0A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ab/>
      </w:r>
      <w:r w:rsidR="004A0666" w:rsidRPr="009E5612">
        <w:rPr>
          <w:rFonts w:ascii="Times New Roman" w:hAnsi="Times New Roman" w:cs="Times New Roman"/>
          <w:sz w:val="20"/>
          <w:szCs w:val="20"/>
        </w:rPr>
        <w:t>1.Текст решения Совета муниципального района «Ижемский» от 12 июля 2010 года № 3-29/2 «Об утверждении порядка проведения антикоррупционной экспертизы муниципальных нормативных правовых актов Совета муниципального района «Ижемский» и проектов муниципальных нормативных правовых актов Совета муниципального района «Ижемский» принято с многочисленные противоречия действующему законодательству и неопределенности (п. 1.2, 2.1, 2.62.17, 3.1).</w:t>
      </w:r>
    </w:p>
    <w:p w:rsidR="004A0666" w:rsidRPr="009E5612" w:rsidRDefault="00D73E0A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ab/>
      </w:r>
      <w:r w:rsidR="004A0666" w:rsidRPr="009E5612">
        <w:rPr>
          <w:rFonts w:ascii="Times New Roman" w:hAnsi="Times New Roman" w:cs="Times New Roman"/>
          <w:sz w:val="20"/>
          <w:szCs w:val="20"/>
        </w:rPr>
        <w:t>В связи с этим невозможно проводить антикоррупционную экспертизу. За время действия решения антикоррупционная экспертиза силами депутатов не проводиться. За этот период менялись должности, наименования отделов, вносились изменения в законодательство, а изменения в решения не внесены.</w:t>
      </w:r>
    </w:p>
    <w:p w:rsidR="004A0666" w:rsidRPr="009E5612" w:rsidRDefault="00D73E0A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ab/>
      </w:r>
      <w:r w:rsidR="004A0666" w:rsidRPr="009E5612">
        <w:rPr>
          <w:rFonts w:ascii="Times New Roman" w:hAnsi="Times New Roman" w:cs="Times New Roman"/>
          <w:sz w:val="20"/>
          <w:szCs w:val="20"/>
        </w:rPr>
        <w:t xml:space="preserve">2. В МО МР «Ижемский» принята и действует программа по противодействию коррупции. Полномочия по проведению работы по противодействию коррупции переданы администрации муниципального района «Ижемский». </w:t>
      </w:r>
    </w:p>
    <w:p w:rsidR="007374AF" w:rsidRPr="009E5612" w:rsidRDefault="007374AF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74AF" w:rsidRPr="009E5612" w:rsidRDefault="00D73E0A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ab/>
      </w:r>
      <w:r w:rsidR="007374AF" w:rsidRPr="009E5612">
        <w:rPr>
          <w:rFonts w:ascii="Times New Roman" w:hAnsi="Times New Roman" w:cs="Times New Roman"/>
          <w:sz w:val="20"/>
          <w:szCs w:val="20"/>
        </w:rPr>
        <w:t>Финансирование.</w:t>
      </w:r>
    </w:p>
    <w:p w:rsidR="007374AF" w:rsidRPr="009E5612" w:rsidRDefault="00D73E0A" w:rsidP="009E5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5612">
        <w:rPr>
          <w:rFonts w:ascii="Times New Roman" w:hAnsi="Times New Roman" w:cs="Times New Roman"/>
          <w:sz w:val="20"/>
          <w:szCs w:val="20"/>
        </w:rPr>
        <w:tab/>
      </w:r>
      <w:r w:rsidR="007374AF" w:rsidRPr="009E5612">
        <w:rPr>
          <w:rFonts w:ascii="Times New Roman" w:hAnsi="Times New Roman" w:cs="Times New Roman"/>
          <w:sz w:val="20"/>
          <w:szCs w:val="20"/>
        </w:rPr>
        <w:t>Принятие данного решения не требует дополнительного финансирования из местного бюджета</w:t>
      </w:r>
    </w:p>
    <w:p w:rsidR="004A0666" w:rsidRPr="009E5612" w:rsidRDefault="004A0666" w:rsidP="009E561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sectPr w:rsidR="004A0666" w:rsidRPr="009E5612" w:rsidSect="009E561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78DB"/>
    <w:multiLevelType w:val="multilevel"/>
    <w:tmpl w:val="7C66B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737DE"/>
    <w:multiLevelType w:val="multilevel"/>
    <w:tmpl w:val="1F5C7C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169D6"/>
    <w:multiLevelType w:val="multilevel"/>
    <w:tmpl w:val="F5C414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AE3B22"/>
    <w:multiLevelType w:val="multilevel"/>
    <w:tmpl w:val="785CFB38"/>
    <w:lvl w:ilvl="0">
      <w:start w:val="1"/>
      <w:numFmt w:val="bullet"/>
      <w:lvlText w:val=""/>
      <w:lvlJc w:val="left"/>
      <w:pPr>
        <w:tabs>
          <w:tab w:val="num" w:pos="408"/>
        </w:tabs>
        <w:ind w:left="40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68"/>
        </w:tabs>
        <w:ind w:left="6168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BAA5993"/>
    <w:multiLevelType w:val="multilevel"/>
    <w:tmpl w:val="593A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7007E4"/>
    <w:multiLevelType w:val="multilevel"/>
    <w:tmpl w:val="B2B8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DD51A1"/>
    <w:multiLevelType w:val="multilevel"/>
    <w:tmpl w:val="8A44F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8D6B23"/>
    <w:multiLevelType w:val="multilevel"/>
    <w:tmpl w:val="D5468468"/>
    <w:lvl w:ilvl="0">
      <w:start w:val="1"/>
      <w:numFmt w:val="decimal"/>
      <w:lvlText w:val="%1."/>
      <w:lvlJc w:val="left"/>
      <w:pPr>
        <w:ind w:left="1260" w:hanging="435"/>
      </w:pPr>
    </w:lvl>
    <w:lvl w:ilvl="1">
      <w:start w:val="1"/>
      <w:numFmt w:val="lowerLetter"/>
      <w:lvlText w:val="%2."/>
      <w:lvlJc w:val="left"/>
      <w:pPr>
        <w:ind w:left="1905" w:hanging="360"/>
      </w:pPr>
    </w:lvl>
    <w:lvl w:ilvl="2">
      <w:start w:val="1"/>
      <w:numFmt w:val="lowerRoman"/>
      <w:lvlText w:val="%3."/>
      <w:lvlJc w:val="right"/>
      <w:pPr>
        <w:ind w:left="2625" w:hanging="180"/>
      </w:pPr>
    </w:lvl>
    <w:lvl w:ilvl="3">
      <w:start w:val="1"/>
      <w:numFmt w:val="decimal"/>
      <w:lvlText w:val="%4."/>
      <w:lvlJc w:val="left"/>
      <w:pPr>
        <w:ind w:left="3345" w:hanging="360"/>
      </w:pPr>
    </w:lvl>
    <w:lvl w:ilvl="4">
      <w:start w:val="1"/>
      <w:numFmt w:val="lowerLetter"/>
      <w:lvlText w:val="%5."/>
      <w:lvlJc w:val="left"/>
      <w:pPr>
        <w:ind w:left="4065" w:hanging="360"/>
      </w:pPr>
    </w:lvl>
    <w:lvl w:ilvl="5">
      <w:start w:val="1"/>
      <w:numFmt w:val="lowerRoman"/>
      <w:lvlText w:val="%6."/>
      <w:lvlJc w:val="right"/>
      <w:pPr>
        <w:ind w:left="4785" w:hanging="180"/>
      </w:pPr>
    </w:lvl>
    <w:lvl w:ilvl="6">
      <w:start w:val="1"/>
      <w:numFmt w:val="decimal"/>
      <w:lvlText w:val="%7."/>
      <w:lvlJc w:val="left"/>
      <w:pPr>
        <w:ind w:left="5505" w:hanging="360"/>
      </w:pPr>
    </w:lvl>
    <w:lvl w:ilvl="7">
      <w:start w:val="1"/>
      <w:numFmt w:val="lowerLetter"/>
      <w:lvlText w:val="%8."/>
      <w:lvlJc w:val="left"/>
      <w:pPr>
        <w:ind w:left="6225" w:hanging="360"/>
      </w:pPr>
    </w:lvl>
    <w:lvl w:ilvl="8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79E77466"/>
    <w:multiLevelType w:val="multilevel"/>
    <w:tmpl w:val="59BC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2FB8"/>
    <w:rsid w:val="00000036"/>
    <w:rsid w:val="00033A21"/>
    <w:rsid w:val="001222AD"/>
    <w:rsid w:val="00172504"/>
    <w:rsid w:val="004A0666"/>
    <w:rsid w:val="004A300C"/>
    <w:rsid w:val="004C255F"/>
    <w:rsid w:val="005C69AC"/>
    <w:rsid w:val="007374AF"/>
    <w:rsid w:val="008568F6"/>
    <w:rsid w:val="00862FB8"/>
    <w:rsid w:val="00906871"/>
    <w:rsid w:val="009868C2"/>
    <w:rsid w:val="009E5612"/>
    <w:rsid w:val="00A359E7"/>
    <w:rsid w:val="00C91C87"/>
    <w:rsid w:val="00CE48A6"/>
    <w:rsid w:val="00D73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00A46"/>
  <w15:docId w15:val="{75017502-A6CD-4076-9843-2716E191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6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09087">
          <w:marLeft w:val="600"/>
          <w:marRight w:val="60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D407C601E086030DA5385DBB7C98AFB247A7E52D43A58AE6FB8FBDD1DCE9B6D5E9D6484F89175D313566B21A987792A64Bc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Светлана</cp:lastModifiedBy>
  <cp:revision>15</cp:revision>
  <cp:lastPrinted>2020-07-28T08:02:00Z</cp:lastPrinted>
  <dcterms:created xsi:type="dcterms:W3CDTF">2020-06-05T18:58:00Z</dcterms:created>
  <dcterms:modified xsi:type="dcterms:W3CDTF">2020-07-30T09:33:00Z</dcterms:modified>
</cp:coreProperties>
</file>