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03689E" w:rsidTr="0003689E">
        <w:trPr>
          <w:cantSplit/>
          <w:trHeight w:val="1532"/>
        </w:trPr>
        <w:tc>
          <w:tcPr>
            <w:tcW w:w="3375" w:type="dxa"/>
            <w:hideMark/>
          </w:tcPr>
          <w:p w:rsidR="0003689E" w:rsidRDefault="000368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3689E" w:rsidRDefault="000368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3689E" w:rsidRDefault="000368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03689E" w:rsidRDefault="000368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89E" w:rsidRDefault="000368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03689E" w:rsidRDefault="000368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3689E" w:rsidRDefault="000368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3689E" w:rsidRDefault="0003689E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03689E" w:rsidRDefault="000368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689E" w:rsidRDefault="0003689E" w:rsidP="0003689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0811E9" w:rsidRDefault="000811E9" w:rsidP="000811E9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</w:p>
    <w:p w:rsidR="0003689E" w:rsidRDefault="000811E9" w:rsidP="000811E9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proofErr w:type="gramStart"/>
      <w:r w:rsidR="0003689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03689E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03689E" w:rsidRDefault="0003689E" w:rsidP="000368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689E" w:rsidRDefault="0003689E" w:rsidP="000368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0811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03689E" w:rsidRDefault="0003689E" w:rsidP="000368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03689E" w:rsidRDefault="0003689E" w:rsidP="000368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689E" w:rsidRDefault="0003689E" w:rsidP="0003689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5-15/6 от 22</w:t>
      </w:r>
      <w:r w:rsidR="000811E9">
        <w:rPr>
          <w:rFonts w:ascii="Times New Roman" w:hAnsi="Times New Roman" w:cs="Times New Roman"/>
          <w:sz w:val="28"/>
          <w:szCs w:val="28"/>
        </w:rPr>
        <w:t xml:space="preserve"> ноября 2016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03689E" w:rsidRDefault="0003689E" w:rsidP="0003689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689E" w:rsidRDefault="0003689E" w:rsidP="000368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03689E" w:rsidRDefault="0003689E" w:rsidP="0003689E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03689E" w:rsidRDefault="0003689E" w:rsidP="0003689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3689E" w:rsidRDefault="0003689E" w:rsidP="0003689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5-15/6 от 22</w:t>
      </w:r>
      <w:r w:rsidR="000811E9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0811E9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0811E9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03689E" w:rsidRDefault="0003689E" w:rsidP="0003689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С-3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рекультивации нарушенных территорий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03689E" w:rsidRDefault="0003689E" w:rsidP="0003689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03689E" w:rsidRDefault="0003689E" w:rsidP="00036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689E" w:rsidRDefault="0003689E" w:rsidP="00036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3689E" w:rsidRDefault="0003689E" w:rsidP="00036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03689E" w:rsidRDefault="0003689E" w:rsidP="0003689E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643E26" w:rsidRPr="000811E9" w:rsidRDefault="0003689E" w:rsidP="0003689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0811E9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 xml:space="preserve">Приложение </w:t>
      </w:r>
      <w:r w:rsidR="000811E9" w:rsidRPr="000811E9">
        <w:rPr>
          <w:rFonts w:ascii="Times New Roman" w:hAnsi="Times New Roman" w:cs="Times New Roman"/>
          <w:bCs/>
          <w:spacing w:val="-3"/>
          <w:sz w:val="28"/>
          <w:szCs w:val="28"/>
        </w:rPr>
        <w:t>к решению</w:t>
      </w:r>
    </w:p>
    <w:p w:rsidR="000811E9" w:rsidRPr="000811E9" w:rsidRDefault="000811E9" w:rsidP="0003689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0811E9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0811E9" w:rsidRPr="000811E9" w:rsidRDefault="000811E9" w:rsidP="0003689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0811E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 </w:t>
      </w:r>
    </w:p>
    <w:p w:rsidR="00A31DB8" w:rsidRPr="001D6E4E" w:rsidRDefault="000811E9" w:rsidP="00A31DB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A31DB8"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С-3 — зона рекультивации нарушенных территорий</w:t>
      </w:r>
    </w:p>
    <w:p w:rsidR="00A31DB8" w:rsidRPr="001D6E4E" w:rsidRDefault="00A31DB8" w:rsidP="00A31DB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Зона предназначена для размещения нарушенных территорий в целях охраны окружающей среды и рационального использования территории.</w:t>
      </w:r>
    </w:p>
    <w:p w:rsidR="00A31DB8" w:rsidRPr="001D6E4E" w:rsidRDefault="00A31DB8" w:rsidP="00A31DB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1D6E4E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31DB8" w:rsidRPr="001D6E4E" w:rsidRDefault="00A31DB8" w:rsidP="00A31DB8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A31DB8" w:rsidRPr="001D6E4E" w:rsidRDefault="00A31DB8" w:rsidP="00A31D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пункты утилизации снега, 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снегосвалки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>;</w:t>
      </w:r>
    </w:p>
    <w:p w:rsidR="00A31DB8" w:rsidRPr="001D6E4E" w:rsidRDefault="00A31DB8" w:rsidP="00A31D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A31DB8" w:rsidRPr="001D6E4E" w:rsidRDefault="00A31DB8" w:rsidP="00A31DB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A31DB8" w:rsidRPr="001D6E4E" w:rsidRDefault="00A31DB8" w:rsidP="00A31DB8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31DB8" w:rsidRPr="001D6E4E" w:rsidRDefault="00A31DB8" w:rsidP="00A31DB8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A31DB8" w:rsidRPr="001D6E4E" w:rsidRDefault="00A31DB8" w:rsidP="00A31DB8">
      <w:pPr>
        <w:shd w:val="clear" w:color="auto" w:fill="FFFFFF"/>
        <w:spacing w:before="120" w:after="120"/>
        <w:ind w:firstLine="56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1D6E4E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A31DB8" w:rsidRPr="001D6E4E" w:rsidRDefault="00643E26" w:rsidP="00A31DB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DB8" w:rsidRPr="001D6E4E">
        <w:rPr>
          <w:rFonts w:ascii="Times New Roman" w:hAnsi="Times New Roman" w:cs="Times New Roman"/>
          <w:sz w:val="28"/>
          <w:szCs w:val="28"/>
        </w:rPr>
        <w:t>объекты, технологически связанные с назначением основного вида</w:t>
      </w:r>
    </w:p>
    <w:p w:rsidR="00A31DB8" w:rsidRPr="001D6E4E" w:rsidRDefault="00643E26" w:rsidP="00A31DB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31DB8" w:rsidRPr="001D6E4E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улично-дорожной сети, автомобильных дорог и пешеходных тротуаров в границах населенных пунктов, пешеходных переходов</w:t>
      </w:r>
    </w:p>
    <w:p w:rsidR="00A31DB8" w:rsidRPr="001D6E4E" w:rsidRDefault="00A31DB8" w:rsidP="00A31DB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</w:t>
      </w: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1D6E4E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A31DB8" w:rsidRPr="001D6E4E" w:rsidRDefault="00A31DB8" w:rsidP="00A31DB8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1D6E4E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1D6E4E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1D6E4E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D6E4E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A31DB8" w:rsidRPr="001D6E4E" w:rsidRDefault="00A31DB8" w:rsidP="00A31D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A31DB8" w:rsidRPr="001D6E4E" w:rsidRDefault="00A31DB8" w:rsidP="00A31D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ГОСТ 17.5.1.02-85 Охрана природы. Земли. Классификация нарушенных земель для рекультивации.</w:t>
      </w:r>
    </w:p>
    <w:p w:rsidR="00A31DB8" w:rsidRPr="001D6E4E" w:rsidRDefault="00A31DB8" w:rsidP="00A31D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ГОСТ 17.5.3.04-83 Охрана природы. Земли. Общие требования к рекультивации земель.</w:t>
      </w:r>
    </w:p>
    <w:p w:rsidR="00A31DB8" w:rsidRPr="001D6E4E" w:rsidRDefault="00A31DB8" w:rsidP="00A31D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A31DB8" w:rsidRPr="001D6E4E" w:rsidRDefault="00A31DB8" w:rsidP="00A31DB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A31DB8" w:rsidRPr="001D6E4E" w:rsidRDefault="00A31DB8" w:rsidP="00A31DB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минимальная ширина земельного участка 5 метров;</w:t>
      </w:r>
    </w:p>
    <w:p w:rsidR="00A31DB8" w:rsidRPr="001D6E4E" w:rsidRDefault="00A31DB8" w:rsidP="00A31DB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</w:t>
      </w:r>
      <w:r w:rsidR="0003689E">
        <w:rPr>
          <w:rFonts w:ascii="Times New Roman" w:hAnsi="Times New Roman" w:cs="Times New Roman"/>
          <w:color w:val="FF0000"/>
          <w:spacing w:val="-4"/>
          <w:sz w:val="28"/>
          <w:szCs w:val="28"/>
        </w:rPr>
        <w:t>ощадь земельного участка 25кв</w:t>
      </w:r>
      <w:proofErr w:type="gramStart"/>
      <w:r w:rsidR="0003689E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A31DB8" w:rsidRPr="001D6E4E" w:rsidRDefault="00A31DB8" w:rsidP="00A31DB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 га.</w:t>
      </w:r>
    </w:p>
    <w:p w:rsidR="00A31DB8" w:rsidRPr="001D6E4E" w:rsidRDefault="00A31DB8" w:rsidP="00A31DB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метра</w:t>
      </w:r>
    </w:p>
    <w:p w:rsidR="00A31DB8" w:rsidRPr="001D6E4E" w:rsidRDefault="00A31DB8" w:rsidP="00A31DB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A31DB8" w:rsidRPr="001D6E4E" w:rsidRDefault="00A31DB8" w:rsidP="00A31DB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0811E9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</w:t>
      </w:r>
      <w:proofErr w:type="gramEnd"/>
      <w:r w:rsidR="000811E9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/>
    <w:sectPr w:rsidR="00DC6E14" w:rsidSect="000811E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C2C112E"/>
    <w:lvl w:ilvl="0">
      <w:numFmt w:val="bullet"/>
      <w:lvlText w:val="*"/>
      <w:lvlJc w:val="left"/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61373A19"/>
    <w:multiLevelType w:val="hybridMultilevel"/>
    <w:tmpl w:val="0ED8EF40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DB8"/>
    <w:rsid w:val="0003689E"/>
    <w:rsid w:val="000811E9"/>
    <w:rsid w:val="001937B8"/>
    <w:rsid w:val="003413CA"/>
    <w:rsid w:val="004E5B06"/>
    <w:rsid w:val="00643E26"/>
    <w:rsid w:val="00A31DB8"/>
    <w:rsid w:val="00D62233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DB8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368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368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03689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036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8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645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2016-12-12T13:59:00Z</dcterms:created>
  <dcterms:modified xsi:type="dcterms:W3CDTF">2016-12-12T13:59:00Z</dcterms:modified>
</cp:coreProperties>
</file>