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5-15/5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«Брыкаланск»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>Градостроительные регламенты в части видов разрешенного использования земельных участков и объектов капитального строительства</w:t>
      </w:r>
      <w:proofErr w:type="gramEnd"/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</w:t>
      </w:r>
      <w:proofErr w:type="gramEnd"/>
      <w:r w:rsidR="001542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4219">
        <w:rPr>
          <w:rFonts w:ascii="Times New Roman" w:hAnsi="Times New Roman" w:cs="Times New Roman"/>
          <w:sz w:val="28"/>
          <w:szCs w:val="28"/>
        </w:rPr>
        <w:t>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E38"/>
    <w:rsid w:val="00036D2B"/>
    <w:rsid w:val="00065EE1"/>
    <w:rsid w:val="000E2177"/>
    <w:rsid w:val="00154219"/>
    <w:rsid w:val="001F54CB"/>
    <w:rsid w:val="003F096E"/>
    <w:rsid w:val="007164C2"/>
    <w:rsid w:val="00B558C7"/>
    <w:rsid w:val="00C26EE9"/>
    <w:rsid w:val="00D429CA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2016-12-12T12:25:00Z</dcterms:created>
  <dcterms:modified xsi:type="dcterms:W3CDTF">2016-12-12T12:25:00Z</dcterms:modified>
</cp:coreProperties>
</file>