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УТВЕРЖДЕНО</w:t>
      </w:r>
    </w:p>
    <w:p w:rsidR="00543255" w:rsidRDefault="006C600C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приказом</w:t>
      </w:r>
      <w:r w:rsidR="00543255">
        <w:rPr>
          <w:rFonts w:ascii="Times New Roman" w:hAnsi="Times New Roman" w:cs="Calibri"/>
          <w:sz w:val="26"/>
          <w:szCs w:val="26"/>
        </w:rPr>
        <w:t xml:space="preserve"> председателя 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Контрольно-счетной </w:t>
      </w:r>
      <w:r w:rsidR="006C600C">
        <w:rPr>
          <w:rFonts w:ascii="Times New Roman" w:hAnsi="Times New Roman" w:cs="Calibri"/>
          <w:sz w:val="26"/>
          <w:szCs w:val="26"/>
        </w:rPr>
        <w:t>комиссии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района «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>
        <w:rPr>
          <w:rFonts w:ascii="Times New Roman" w:hAnsi="Times New Roman" w:cs="Calibri"/>
          <w:sz w:val="26"/>
          <w:szCs w:val="26"/>
        </w:rPr>
        <w:t>»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от </w:t>
      </w:r>
      <w:r w:rsidR="0013171E">
        <w:rPr>
          <w:rFonts w:ascii="Times New Roman" w:hAnsi="Times New Roman" w:cs="Calibri"/>
          <w:sz w:val="26"/>
          <w:szCs w:val="26"/>
        </w:rPr>
        <w:t xml:space="preserve">24 </w:t>
      </w:r>
      <w:r w:rsidR="00B20722">
        <w:rPr>
          <w:rFonts w:ascii="Times New Roman" w:hAnsi="Times New Roman" w:cs="Calibri"/>
          <w:sz w:val="26"/>
          <w:szCs w:val="26"/>
        </w:rPr>
        <w:t>декабря</w:t>
      </w:r>
      <w:r w:rsidR="002E306D"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t>201</w:t>
      </w:r>
      <w:r w:rsidR="002760AF">
        <w:rPr>
          <w:rFonts w:ascii="Times New Roman" w:hAnsi="Times New Roman" w:cs="Calibri"/>
          <w:sz w:val="26"/>
          <w:szCs w:val="26"/>
        </w:rPr>
        <w:t>8</w:t>
      </w:r>
      <w:r>
        <w:rPr>
          <w:rFonts w:ascii="Times New Roman" w:hAnsi="Times New Roman" w:cs="Calibri"/>
          <w:sz w:val="26"/>
          <w:szCs w:val="26"/>
        </w:rPr>
        <w:t xml:space="preserve"> г. №</w:t>
      </w:r>
      <w:r w:rsidR="006A3A18">
        <w:rPr>
          <w:rFonts w:ascii="Times New Roman" w:hAnsi="Times New Roman" w:cs="Calibri"/>
          <w:sz w:val="26"/>
          <w:szCs w:val="26"/>
        </w:rPr>
        <w:t xml:space="preserve"> </w:t>
      </w:r>
      <w:r w:rsidR="0013171E">
        <w:rPr>
          <w:rFonts w:ascii="Times New Roman" w:hAnsi="Times New Roman" w:cs="Calibri"/>
          <w:sz w:val="26"/>
          <w:szCs w:val="26"/>
        </w:rPr>
        <w:t>7</w:t>
      </w:r>
      <w:r w:rsidR="00B46225">
        <w:rPr>
          <w:rFonts w:ascii="Times New Roman" w:hAnsi="Times New Roman" w:cs="Calibri"/>
          <w:sz w:val="26"/>
          <w:szCs w:val="26"/>
        </w:rPr>
        <w:t>-о/д</w:t>
      </w:r>
      <w:r>
        <w:rPr>
          <w:rFonts w:ascii="Times New Roman" w:hAnsi="Times New Roman" w:cs="Calibri"/>
          <w:sz w:val="26"/>
          <w:szCs w:val="26"/>
        </w:rPr>
        <w:t xml:space="preserve"> </w:t>
      </w:r>
      <w:bookmarkStart w:id="0" w:name="_GoBack"/>
      <w:bookmarkEnd w:id="0"/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(приложение № 1)  </w:t>
      </w:r>
    </w:p>
    <w:p w:rsidR="007F3495" w:rsidRDefault="007F349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6A3A18" w:rsidRDefault="006A3A18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 РАЙОНА  "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>
        <w:rPr>
          <w:rFonts w:ascii="Times New Roman" w:hAnsi="Times New Roman" w:cs="Calibri"/>
          <w:sz w:val="26"/>
          <w:szCs w:val="26"/>
        </w:rPr>
        <w:t xml:space="preserve">"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2760AF">
        <w:rPr>
          <w:rFonts w:ascii="Times New Roman" w:hAnsi="Times New Roman" w:cs="Calibri"/>
          <w:sz w:val="26"/>
          <w:szCs w:val="26"/>
        </w:rPr>
        <w:t>19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6"/>
          <w:szCs w:val="26"/>
        </w:rPr>
      </w:pP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1A2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(информации) об итогах деятельности контрольно-счетной комиссии муниципального района «Ижемский»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865F18">
        <w:trPr>
          <w:gridAfter w:val="1"/>
          <w:wAfter w:w="20" w:type="dxa"/>
          <w:cantSplit/>
          <w:trHeight w:val="10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12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. Участие в семинарах-совещаниях, проводимых Контрольно-счетной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BE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5E15DA" w:rsidRDefault="005E15DA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30E7" w:rsidRDefault="00F830E7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30E7" w:rsidRDefault="00F830E7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D156F" w:rsidRDefault="007D156F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lastRenderedPageBreak/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«Ижемский»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 исполнения бюджета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Pr="004B3E42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>Проведение экспертизы и подготовка заключения  по исполнению бюджета муниципального района «Ижемский за 9 месяцев  201</w:t>
            </w:r>
            <w:r w:rsidR="007E70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2020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151BCB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годов.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C79AC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Экспертиза муниципальной программы 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AF04E0">
              <w:rPr>
                <w:rFonts w:ascii="Times New Roman" w:hAnsi="Times New Roman" w:cs="Calibri"/>
                <w:sz w:val="24"/>
                <w:szCs w:val="24"/>
              </w:rPr>
              <w:t>Территориальное развитие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9135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C05A3A" w:rsidRPr="004B3E42" w:rsidRDefault="00C05A3A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1C15E0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AC" w:rsidRPr="004B3E42" w:rsidRDefault="009C79AC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B5E1D" w:rsidRDefault="003B5E1D" w:rsidP="00B55C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3B5E1D" w:rsidRDefault="003B5E1D" w:rsidP="008E24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Контрольно-ревизионная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607"/>
        <w:gridCol w:w="1910"/>
      </w:tblGrid>
      <w:tr w:rsidR="001978BE" w:rsidRPr="004B3E42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E20719" w:rsidRPr="004B3E42" w:rsidTr="00E20719">
        <w:trPr>
          <w:cantSplit/>
          <w:trHeight w:val="18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Pr="004B3E42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E20719" w:rsidRPr="004B3E4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Pr="00426220" w:rsidRDefault="00E20719" w:rsidP="009A7A3C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>Проверки  по   запросам, поручениям и предложениям Главы муниципального района «Ижемский», Совета муниципального образования муниципального района «Ижемский»,  постоянных комиссий  и  депутатов   районного Совета</w:t>
            </w:r>
            <w:r w:rsidR="009339C8">
              <w:rPr>
                <w:rFonts w:ascii="Times New Roman" w:hAnsi="Times New Roman" w:cs="Calibri"/>
                <w:sz w:val="24"/>
                <w:szCs w:val="24"/>
              </w:rPr>
              <w:t>.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</w:t>
            </w:r>
          </w:p>
          <w:p w:rsidR="00E20719" w:rsidRPr="00426220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года </w:t>
            </w:r>
          </w:p>
          <w:p w:rsidR="00CF12B2" w:rsidRDefault="00CF12B2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CF12B2" w:rsidRPr="00426220" w:rsidRDefault="00CF12B2" w:rsidP="0006599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Pr="004B3E42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при поступлении </w:t>
            </w:r>
          </w:p>
        </w:tc>
      </w:tr>
      <w:tr w:rsidR="00453DDE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9C7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«Краснобор»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1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79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DDE" w:rsidRPr="004B3E42" w:rsidRDefault="00453DDE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«Сизябск»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«Мохча»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081953" w:rsidP="002E306D">
      <w:pPr>
        <w:pStyle w:val="a3"/>
        <w:keepLines/>
        <w:widowControl w:val="0"/>
      </w:pPr>
      <w:r>
        <w:t xml:space="preserve"> </w:t>
      </w: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p w:rsidR="0089071A" w:rsidRDefault="0089071A" w:rsidP="002E306D">
      <w:pPr>
        <w:pStyle w:val="a3"/>
        <w:keepLines/>
        <w:widowControl w:val="0"/>
      </w:pPr>
    </w:p>
    <w:sectPr w:rsidR="0089071A" w:rsidSect="000154F8">
      <w:pgSz w:w="11906" w:h="16838"/>
      <w:pgMar w:top="426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8E"/>
    <w:rsid w:val="00000F52"/>
    <w:rsid w:val="00003C64"/>
    <w:rsid w:val="000154F8"/>
    <w:rsid w:val="000408ED"/>
    <w:rsid w:val="00046706"/>
    <w:rsid w:val="00047DF7"/>
    <w:rsid w:val="00065996"/>
    <w:rsid w:val="00081953"/>
    <w:rsid w:val="00085917"/>
    <w:rsid w:val="000B45C5"/>
    <w:rsid w:val="000B77A6"/>
    <w:rsid w:val="0013171E"/>
    <w:rsid w:val="001323A4"/>
    <w:rsid w:val="00151BCB"/>
    <w:rsid w:val="00181256"/>
    <w:rsid w:val="001978BE"/>
    <w:rsid w:val="001A288C"/>
    <w:rsid w:val="001B1DC4"/>
    <w:rsid w:val="001C15E0"/>
    <w:rsid w:val="001D750D"/>
    <w:rsid w:val="001E6391"/>
    <w:rsid w:val="00202E94"/>
    <w:rsid w:val="00212406"/>
    <w:rsid w:val="0022504D"/>
    <w:rsid w:val="00261009"/>
    <w:rsid w:val="002760AF"/>
    <w:rsid w:val="002832F6"/>
    <w:rsid w:val="002B2384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3109F"/>
    <w:rsid w:val="00332DE8"/>
    <w:rsid w:val="00343FB5"/>
    <w:rsid w:val="00352607"/>
    <w:rsid w:val="003546F0"/>
    <w:rsid w:val="003569DB"/>
    <w:rsid w:val="003578BC"/>
    <w:rsid w:val="00364423"/>
    <w:rsid w:val="003774CA"/>
    <w:rsid w:val="00384116"/>
    <w:rsid w:val="00385781"/>
    <w:rsid w:val="003B5E1D"/>
    <w:rsid w:val="003C454A"/>
    <w:rsid w:val="003D39D3"/>
    <w:rsid w:val="003D4CB7"/>
    <w:rsid w:val="003D6533"/>
    <w:rsid w:val="003F70F3"/>
    <w:rsid w:val="003F7284"/>
    <w:rsid w:val="004000A4"/>
    <w:rsid w:val="004005D7"/>
    <w:rsid w:val="00413D5D"/>
    <w:rsid w:val="00426220"/>
    <w:rsid w:val="00447513"/>
    <w:rsid w:val="00453DDE"/>
    <w:rsid w:val="00487881"/>
    <w:rsid w:val="004A0CE9"/>
    <w:rsid w:val="004B3E42"/>
    <w:rsid w:val="004D250F"/>
    <w:rsid w:val="004E29AD"/>
    <w:rsid w:val="004E3435"/>
    <w:rsid w:val="005010D3"/>
    <w:rsid w:val="0050699C"/>
    <w:rsid w:val="00512436"/>
    <w:rsid w:val="00543255"/>
    <w:rsid w:val="00543376"/>
    <w:rsid w:val="00547A42"/>
    <w:rsid w:val="005575D6"/>
    <w:rsid w:val="0056121C"/>
    <w:rsid w:val="00576AC4"/>
    <w:rsid w:val="00580C64"/>
    <w:rsid w:val="00585EBF"/>
    <w:rsid w:val="005A2D1C"/>
    <w:rsid w:val="005A7210"/>
    <w:rsid w:val="005A79E6"/>
    <w:rsid w:val="005B50F8"/>
    <w:rsid w:val="005D5640"/>
    <w:rsid w:val="005D6028"/>
    <w:rsid w:val="005E15DA"/>
    <w:rsid w:val="005F4278"/>
    <w:rsid w:val="00641F1D"/>
    <w:rsid w:val="006651D7"/>
    <w:rsid w:val="006A3A18"/>
    <w:rsid w:val="006C2D00"/>
    <w:rsid w:val="006C600C"/>
    <w:rsid w:val="006E001E"/>
    <w:rsid w:val="006F6857"/>
    <w:rsid w:val="007021CA"/>
    <w:rsid w:val="00703E90"/>
    <w:rsid w:val="00707CD0"/>
    <w:rsid w:val="007449DF"/>
    <w:rsid w:val="007606A9"/>
    <w:rsid w:val="00766EC5"/>
    <w:rsid w:val="00797D69"/>
    <w:rsid w:val="007A50E2"/>
    <w:rsid w:val="007B2F45"/>
    <w:rsid w:val="007B309C"/>
    <w:rsid w:val="007B4BA1"/>
    <w:rsid w:val="007D156F"/>
    <w:rsid w:val="007E6EFC"/>
    <w:rsid w:val="007E70C6"/>
    <w:rsid w:val="007F3495"/>
    <w:rsid w:val="008043D3"/>
    <w:rsid w:val="00811272"/>
    <w:rsid w:val="0086329B"/>
    <w:rsid w:val="00865F18"/>
    <w:rsid w:val="0089071A"/>
    <w:rsid w:val="008C3A9D"/>
    <w:rsid w:val="008C734F"/>
    <w:rsid w:val="008D04ED"/>
    <w:rsid w:val="008E07F4"/>
    <w:rsid w:val="008E2438"/>
    <w:rsid w:val="00910025"/>
    <w:rsid w:val="00912840"/>
    <w:rsid w:val="009135C7"/>
    <w:rsid w:val="009339C8"/>
    <w:rsid w:val="00933CE2"/>
    <w:rsid w:val="00966065"/>
    <w:rsid w:val="00991DB7"/>
    <w:rsid w:val="009A7A3C"/>
    <w:rsid w:val="009B4D70"/>
    <w:rsid w:val="009C0CE5"/>
    <w:rsid w:val="009C79AC"/>
    <w:rsid w:val="009D51C5"/>
    <w:rsid w:val="009D7ADC"/>
    <w:rsid w:val="009E5B30"/>
    <w:rsid w:val="00A456EB"/>
    <w:rsid w:val="00A72F3A"/>
    <w:rsid w:val="00A76794"/>
    <w:rsid w:val="00A83DDE"/>
    <w:rsid w:val="00A96C7A"/>
    <w:rsid w:val="00AA3332"/>
    <w:rsid w:val="00AF04E0"/>
    <w:rsid w:val="00B20722"/>
    <w:rsid w:val="00B425D8"/>
    <w:rsid w:val="00B427D6"/>
    <w:rsid w:val="00B46225"/>
    <w:rsid w:val="00B55CD1"/>
    <w:rsid w:val="00B63C9C"/>
    <w:rsid w:val="00B81573"/>
    <w:rsid w:val="00B8400E"/>
    <w:rsid w:val="00BB7BAC"/>
    <w:rsid w:val="00BD6A32"/>
    <w:rsid w:val="00BF520B"/>
    <w:rsid w:val="00C05A3A"/>
    <w:rsid w:val="00C822E5"/>
    <w:rsid w:val="00CA1AE3"/>
    <w:rsid w:val="00CB6584"/>
    <w:rsid w:val="00CC27F2"/>
    <w:rsid w:val="00CC48D9"/>
    <w:rsid w:val="00CE2C86"/>
    <w:rsid w:val="00CF12B2"/>
    <w:rsid w:val="00D01A3B"/>
    <w:rsid w:val="00D36442"/>
    <w:rsid w:val="00D540BD"/>
    <w:rsid w:val="00D6592A"/>
    <w:rsid w:val="00D66797"/>
    <w:rsid w:val="00D6698D"/>
    <w:rsid w:val="00D951B6"/>
    <w:rsid w:val="00D96A90"/>
    <w:rsid w:val="00DB539C"/>
    <w:rsid w:val="00DE626B"/>
    <w:rsid w:val="00DF20D3"/>
    <w:rsid w:val="00E11BDB"/>
    <w:rsid w:val="00E131A5"/>
    <w:rsid w:val="00E148C8"/>
    <w:rsid w:val="00E20719"/>
    <w:rsid w:val="00E31977"/>
    <w:rsid w:val="00E66D8A"/>
    <w:rsid w:val="00ED371F"/>
    <w:rsid w:val="00F0020A"/>
    <w:rsid w:val="00F22DFD"/>
    <w:rsid w:val="00F27085"/>
    <w:rsid w:val="00F60786"/>
    <w:rsid w:val="00F830E7"/>
    <w:rsid w:val="00F90E68"/>
    <w:rsid w:val="00F91AB5"/>
    <w:rsid w:val="00FA038E"/>
    <w:rsid w:val="00FA0B3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B88C-ECD6-4B95-A089-DCC34B2D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КСП</cp:lastModifiedBy>
  <cp:revision>13</cp:revision>
  <cp:lastPrinted>2017-12-19T09:55:00Z</cp:lastPrinted>
  <dcterms:created xsi:type="dcterms:W3CDTF">2018-12-06T14:04:00Z</dcterms:created>
  <dcterms:modified xsi:type="dcterms:W3CDTF">2018-12-24T07:55:00Z</dcterms:modified>
</cp:coreProperties>
</file>